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ACJC/1662/2020 vom 9. Dezember 2004</w:t>
      </w:r>
    </w:p>
    <w:p>
      <w:r>
        <w:t>GE Cour de justice, 2004-12-09, FR</w:t>
      </w:r>
    </w:p>
    <w:p>
      <w:r>
        <w:rPr>
          <w:b/>
        </w:rPr>
        <w:t xml:space="preserve">Quelle: </w:t>
      </w:r>
      <w:r>
        <w:t>https://mcp.opencaselaw.ch/entscheid/ge_gerichte_ACJC_1662_2020</w:t>
      </w:r>
    </w:p>
    <w:p>
      <w:r>
        <w:t>FR: GE_GERICHTE ACJC/1662/2020 du 9 décembre 2004</w:t>
      </w:r>
    </w:p>
    <w:p>
      <w:r>
        <w:t>IT: GE_GERICHTE ACJC/1662/2020 del 9 dicembre 2004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l'appelant conclut au versement d'une somme supérieure à 10'000 fr. de sorte que la voie de l'appel est ouverte.</w:t>
      </w:r>
    </w:p>
    <w:p>
      <w:r>
        <w:rPr>
          <w:b/>
        </w:rPr>
        <w:t>E. 1.2</w:t>
      </w:r>
    </w:p>
    <w:p>
      <w:r>
        <w:t>Formé dans le délai et selon la forme prescrits par la loi, l'appel est recevable (art. 130, 131, 142 al. 1 et 3, 145 al. 1 let. a et 311 al. 1 CPC). Même si l'intimé reproche à l'appelant de ne pas avoir articulé ses allégués de manière distincte, celui-ci a été en mesure de se déterminer sur ceux-ci dans son mémoire de réponse, étant relevé que l'intimé, comme la Cour, ont compris que l'appelant reprochait au premier juge d'avoir mal apprécié les faits et ainsi considéré de manière erronée que l'intimé n'avait pas violé ses obligations ni engagé sa responsabilité contractuelle.</w:t>
      </w:r>
    </w:p>
    <w:p>
      <w:r>
        <w:rPr>
          <w:b/>
        </w:rPr>
        <w:t>E. 2</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Le Tribunal n'a pas repris en détail les considérants des arrêts de la Cour annulant les sentences litigieuses. Il les a toutefois fidèlement résumés, reprenant les termes utilisés par l'autorité de recours ("interprétation erronée de la loi", "motivation insoutenable", "décision arbitraire dans son résultat") de sorte que c'est à tort que l'appelant reproche au Tribunal d'avoir établi les fais de manière incomplète à cet égard. Tout autre est la question de savoir si le Tribunal a correctement apprécié ces faits.</w:t>
      </w:r>
    </w:p>
    <w:p>
      <w:r>
        <w:rPr>
          <w:b/>
        </w:rPr>
        <w:t>E. 3</w:t>
      </w:r>
    </w:p>
    <w:p>
      <w:r>
        <w:t>Les conclusions réduites (70'000 fr. au lieu de 80'000 fr.) de l'appelant devant la Cour ne sont pas nouvelles puisqu'une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 Elles sont, partant, recevables.</w:t>
      </w:r>
    </w:p>
    <w:p>
      <w:r>
        <w:t>- 10/16 -</w:t>
      </w:r>
    </w:p>
    <w:p>
      <w:r>
        <w:t>C/24293/2016</w:t>
      </w:r>
    </w:p>
    <w:p>
      <w:r>
        <w:rPr>
          <w:b/>
        </w:rPr>
        <w:t>E. 4</w:t>
      </w:r>
    </w:p>
    <w:p>
      <w:r>
        <w:t>Les parties ne remettent pas en cause la décision querellée en tant qu'elle retient qu'elles étaient liées par un contrat de mandat "sui generis" et que la responsabilité de l'arbitre peut être engagée aux conditions de l'art. 97 CO lorsque l'arbitre a fautivement violé son devoir de diligence, celle-ci devant toutefois être pondérée pour tenir compte de sa fonction juridictionnelle et d'une certaine "immunité".</w:t>
      </w:r>
    </w:p>
    <w:p>
      <w:r>
        <w:t>Ainsi, l'intimé ne prétend plus que sa responsabilité est soumise aux règles qui s'appliquent à celle des magistrats judiciaires.</w:t>
      </w:r>
    </w:p>
    <w:p>
      <w:r>
        <w:rPr>
          <w:b/>
        </w:rPr>
        <w:t>E. 5</w:t>
      </w:r>
    </w:p>
    <w:p>
      <w:r>
        <w:t>décembre 2016 précité, ibidem, et les références). Le juge apprécie (art. 4 CC) les agissements de l'auteur négligent en se référant à la diligence que l'autre partie était en droit d'attendre, en vertu, notamment, des clauses du contrat et des usages professionnels (arrêts 4A_386/2016 du 5 décembre 2016 précité, ibidem; 4A_438/2007 du 29 janvier 2008 précité, consid. 5.3).</w:t>
      </w:r>
    </w:p>
    <w:p>
      <w:r>
        <w:t>- 13/16 -</w:t>
      </w:r>
    </w:p>
    <w:p>
      <w:r>
        <w:t>C/24293/2016 Il y a faute grave lorsque le comportement est objectivement ou subjectivement inexcusable. La faute intentionnelle constitue en principe une faute grave. Une négligence peut cependant également être constitutive d’une faute grave lorsque l’auteur a violé les règles les plus élémentaires de la prudence, en négligeant des précautions qui, dans les mêmes circonstances, se seraient imposées à toute personne raisonnable (DUNAND, Commentaire du contrat de travail, 2013, p. 125). 5.1.4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 L'effet rétroactif attaché à la compensation a pour conséquence que celle-ci se concrétise - a posteriori - dès la conjonction des moments où la créance compensante est exigible tandis que la créance compensée est exécutable (JEANDIN, CR-CO I, 2012, n. 6 ad art. 124 CO). La compensation d'une créance prescrite peut être invoquée, si la créance n'était pas éteinte par la prescription au moment où elle pouvait être compensée (art. 120 al. 3 CO). L'art. 120 al. 3 CO consacre une exception au principe selon lequel la créance invoquée par celui qui compense doit pouvoir être déduite en justice, puisqu’il envisage la compensation au moyen d’une créance compensante prescrite. La doctrine y voit une concession à l’idée de la compensation légale du droit français selon laquelle la compensation survient ex lege dès lors que les conditions en sont réunies, ou encore une conséquence logique de l’effet rétroactif propre à la compensation. On peut aussi concevoir, sur le plan de l’équité, que le créancier en mesure de compenser fasse preuve d’une diligence amoindrie s’agissant de faire valoir son droit à l’encontre du débiteur, et qu’il ne perde pas la faculté de compenser du seul fait de la survenance de la prescription. La loi exige cependant que toutes les conditions nécessaires à la compensation [réciprocité des créances, exigibilité de la créance compensante - sous réserve de l'art. 120 al. 3 CO -, identité des prestations dues] aient été réunies au moment de la survenance de la prescription, ce qui ressort clairement de la deuxième partie de l'art. 120 al. 3 CO. En d’autres termes, « la créance de A peut être compensante même une fois prescrite, pourvu qu’elle ne le fût pas au moment où elle pouvait se compenser avec la créance de B » (JEANDIN, op. cit., n. 21-22 ad art. 120 CO). Le Code permet de compenser à l'aide d'une créance, même si celle-ci est prescrite au moment de la déclaration de compensation, à condition toutefois que la compensation puisse prendre effet (rétroactivement) avant que la prescription n'ait été acquise (GEISSBÜHLER, Le droit des obligations, 2020, p. 467).</w:t>
      </w:r>
    </w:p>
    <w:p>
      <w:r>
        <w:t>- 14/16 -</w:t>
      </w:r>
    </w:p>
    <w:p>
      <w:r>
        <w:t>C/24293/2016 PICHONNAZ est d'avis que l'art. 120 al. 3 CO n'a plus aucune justification dans le régime de compensation par déclaration et devrait dès lors être supprimé de lege ferenda, et qu'il en va d'ailleurs de même de la rétroactivité des effets de la compensation (PICHONNAZ, Compensation et prescription: le dialogue difficile d’un couple à la fleur de l’âge ?, in RFJ 2002 I 87).</w:t>
      </w:r>
    </w:p>
    <w:p>
      <w:r>
        <w:t>5.2.1 En l'espèce, c'est à tort que l'appelant fait valoir que la Cour avait ordonné à l'intimé, dans son premier arrêt, de trancher du montant de sa créance d'honoraire. L'instance cantonale supérieure s'est en effet limitée à constater qu'il n'avait pas été statué sur le principe même de la compensation sans qu'il puisse être retenu que l'arbitre avait sciemment omis de statuer. En tout état, même si l'arbitre avait commis une faute en omettant de statuer sur la compensation dans sa première sentence, celle-ci ne pourrait toutefois pas être qualifiée de grave, étant relevé à cet égard que l'appelant n'avait pas mis cette conclusion en évidence mais que cette dernière était "noyée" dans ses longues écritures. Ainsi, rien ne permet de retenir que l'intimé a volontairement omis de statuer. Dès lors, il ne s'agit pas d'une négligence grave pouvant entraîner la responsabilité de celui-ci. Dans la sentence complémentaire, il apparaît que l'intimé a fait une application erronée de l'art. 120 al. 3 CO. En effet, après avoir constaté que la créance compensante était prescrite, il n'a pas examiné si la créance compensée était née et devenue exigible avant la prescription (de la créance compensante), comme exigé par la disposition précitée, ce point ne faisant au demeurant l'objet d'aucune controverse doctrinale et résultant du texte de la loi. Il a considéré que la déclaration de compensation devait intervenir avant la prescription de la créance compensante. Or, ni la jurisprudence ni la doctrine ne posent une telle exigence, comme relevé par la Cour dans son arrêt du 17 septembre 2010. PICHONNAZ, que l'intimé cite pour la première fois dans sa réponse à l'appel ne lui est à cet égard d'aucun secours, cet auteur préconisant une suppression de l'art. 120 al. 3 CO de lege ferenda, mais ne soutenant pas que la déclaration de compensation devrait intervenir avant la prescription de la créance compensante. Cette erreur, examinée à la lumière des principes dégagés ci-dessus en matière de responsabilité du mandataire tenu à une obligation de moyens et non de résultat, et en particulier de l'arbitre qui bénéficie d'une certaine immunité, ne peut cependant être qualifiée de lourde. Elle relève plutôt d'une méprise excusable, inhérente à la faillibilité humaine, et ne constitue pas un manquement impardonnable aux règles de l'art. Aucun élément du dossier ne vient étayer la thèse d'une intention fautive de l'intimé. Le fait que la Cour, dans son arrêt du 10 février 2017, ait retenu que la sentence arbitrale violait gravement l'art. 120 al. 3 CO, contenait une motivation arbitraire et était également arbitraire dans son résultat n'y change rien. En effet, l'instance de recours n'avait alors pas à examiner dans quelles circonstances ou pour quelles raisons l'arbitre était parvenu à cette solution, et donc n'avait pas à</w:t>
      </w:r>
    </w:p>
    <w:p>
      <w:r>
        <w:t>- 15/16 -</w:t>
      </w:r>
    </w:p>
    <w:p>
      <w:r>
        <w:t>C/24293/2016 qualifier l'importance de la faute commise. La Cour ne saurait donc être liée dans le présent arrêt par les considérants de la décision de 2017. Il sera encore relevé que la sentence entreprise a été confirmée pour l'essentiel. Le refus du Tribunal d'auditionner l'intimé sur l'état d'esprit dans lequel il avait commis cette faute était justifié à la lumière de l'appréciation anticipée des preuves, étant peu vraisemblable que l'intimé aurait admis avoir sciemment et délibérément fait une mauvaise application de l'art. 120 al. 3 CO. Enfin, la responsabilité de l'intimé ne saurait non plus résulter du fait que celui-ci ait démissionné au motif qu'il ne s'estimait plus en mesure d'exercer sereinement son mandat après que l'appelant ait demandé sa récusation et porté les faits à la connaissance de l'Ordre des avocats. Les années écoulées avant qu'un nouvel arbitre soit désigné et que la procédure arbitrale reprenne son cours ne sont pas non plus imputables à faute de l'intimé. En l'absence d'une faute lourde, la responsabilité de l'intimé n'est pas engagée. Le jugement querellé sera ainsi confirmé.</w:t>
      </w:r>
    </w:p>
    <w:p>
      <w:r>
        <w:rPr>
          <w:b/>
        </w:rPr>
        <w:t>E. 6</w:t>
      </w:r>
    </w:p>
    <w:p>
      <w:r>
        <w:t>Les frais judiciaire d'appel seront arrêtés à 3'000 fr. (art 95 al. 2 et 105 al. 1 CPC; art. 17 et 35 RTFMC), mis à la charge de l'appelant qui succombe (art. 106 al. 1 CPC) et compensés avec l'avance de frais versée, acquises à l'Etat de Genève à due concurrence (art. 111 al. 1 CPC). Les dépens seront arrêtés à 3'000 fr., débours et TVA inclus (art. 85 al. 1 et 90 RTFMC; art. 25 et 26 LaCC) et mis à la charge de l'appelant qui succombe (art. 106 al. 1 CPC). * * * * *</w:t>
      </w:r>
    </w:p>
    <w:p>
      <w:r>
        <w:t>- 16/16 -</w:t>
      </w:r>
    </w:p>
    <w:p>
      <w:r>
        <w:t>C/24293/2016</w:t>
      </w:r>
    </w:p>
    <w:p>
      <w:r>
        <w:t>PAR CES MOTIFS, La Chambre civile :</w:t>
      </w:r>
    </w:p>
    <w:p>
      <w:r>
        <w:t>A la forme : Déclare recevable l'appel interjeté le 5 février 2020 par A______ contre le jugement JTPI/18345/2019 rendu le 23 décembre 2019 par le Tribunal de première instance dans la cause C/24293/2016-4e. Au fond : Confirme le jugement entrepris. Déboute les parties de toutes autres conclusions. Sur les frais : Arrête les frais judiciaires d'appel à 3'000 fr., met ce montant à la charge de A______, et le compense à due concurrence avec l'avance de frais, acquise à l'Etat de Genève à due concurrence. Condamne A______ à verser 3'000 fr. à B______ à titre de dépens d'appel. Siégeant : Madame Pauline ERARD, présidente; Mesdames Paola CAMPOMAGNANI et Fabienne GEISINGER-MARIETHOZ, juges; Madame Roxane DUCOMMUN, greffière.</w:t>
      </w:r>
    </w:p>
    <w:p>
      <w:r>
        <w:t>La présidente : Pauline ERARD</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