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ACJC/1660/2020 vom 25. November 2020</w:t>
      </w:r>
    </w:p>
    <w:p>
      <w:r>
        <w:t>GE Cour de justice, 2020-11-25, FR</w:t>
      </w:r>
    </w:p>
    <w:p>
      <w:r>
        <w:rPr>
          <w:b/>
        </w:rPr>
        <w:t xml:space="preserve">Quelle: </w:t>
      </w:r>
      <w:r>
        <w:t>https://mcp.opencaselaw.ch/entscheid/ge_gerichte_ACJC_1660_2020</w:t>
      </w:r>
    </w:p>
    <w:p>
      <w:r>
        <w:t>FR: GE_GERICHTE ACJC/1660/2020 du 25 novembre 2020</w:t>
      </w:r>
    </w:p>
    <w:p>
      <w:r>
        <w:t>IT: GE_GERICHTE ACJC/1660/2020 del 25 novembre 2020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02.12.2020.</w:t>
      </w:r>
    </w:p>
    <w:p>
      <w:r>
        <w:t>République et canton de Genève POUVOIR JUDICIAIRE Cour de justice civile Chambre civile</w:t>
      </w:r>
    </w:p>
    <w:p>
      <w:r>
        <w:t>Recourante : Intimée : A______ SA, EN LIQUIDATION ______ ______</w:t>
      </w:r>
    </w:p>
    <w:p>
      <w:r>
        <w:t>ETUDE B______ c/o C______, Agent d'affaires breveté ______ ______</w:t>
      </w:r>
    </w:p>
    <w:p>
      <w:r>
        <w:t>C/19088/2020 ACJC/1660/2020 DU MERCREDI 25 NOVEMBRE 2020 Vu le jugement JTPI/14212/2020 du 16 novembre 2020 prononçant la faillite de A______ SA, EN LIQUIDATION (ch. 1 du dispositif) ; Vu le recours contre ledit jugement formé le 24 novembre 2020 par A______ SA, EN LIQUIDATION, dans le délai et la forme prescrits par l'art. 321 al. 1 et 2 CPC ; Vu le paiement de la dette, intérêts et frais compris 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 ; Vu en droit les articles 174 LP, 309 let. b ch. 7 et 319 ss CPC. PAR CES MOTIFS, La Chambre civile : Annule le chiffre 1 du dispositif du jugement de faillite N° JTPI/14212/2020 rendu par le Tribunal de première instance le 16 novembre 2020 dans la cause C/19088/2020-8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