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ACJC/165/2019 vom 13. Februar 2019</w:t>
      </w:r>
    </w:p>
    <w:p>
      <w:r>
        <w:t>GE Cour de justice, 2019-02-13, FR</w:t>
      </w:r>
    </w:p>
    <w:p>
      <w:r>
        <w:rPr>
          <w:b/>
        </w:rPr>
        <w:t xml:space="preserve">Quelle: </w:t>
      </w:r>
      <w:r>
        <w:t>https://mcp.opencaselaw.ch/entscheid/ge_gerichte_ACJC_165_2019</w:t>
      </w:r>
    </w:p>
    <w:p>
      <w:r>
        <w:t>FR: GE_GERICHTE ACJC/165/2019 du 13 février 2019</w:t>
      </w:r>
    </w:p>
    <w:p>
      <w:r>
        <w:t>IT: GE_GERICHTE ACJC/165/2019 del 13 febbraio 2019</w:t>
      </w:r>
    </w:p>
    <w:p>
      <w:pPr>
        <w:pStyle w:val="Heading2"/>
      </w:pPr>
      <w:r>
        <w:t>Erwägungen</w:t>
      </w:r>
    </w:p>
    <w:p>
      <w:r>
        <w:rPr>
          <w:b/>
        </w:rPr>
        <w:t>E. 1.1</w:t>
      </w:r>
    </w:p>
    <w:p>
      <w:r>
        <w:t>Interjeté dans le délai utile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le montant capitalisé est supérieur à 10'000 fr. (art. 92 al. 2 et 308 al. 2 CPC), l'appel est recevable.</w:t>
      </w:r>
    </w:p>
    <w:p>
      <w:r>
        <w:rPr>
          <w:b/>
        </w:rPr>
        <w:t>E. 1.2</w:t>
      </w:r>
    </w:p>
    <w:p>
      <w:r>
        <w:t>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 S'agissant des contributions à l’entretien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w:t>
      </w:r>
    </w:p>
    <w:p>
      <w:r>
        <w:rPr>
          <w:b/>
        </w:rPr>
        <w:t>E. 2</w:t>
      </w:r>
    </w:p>
    <w:p>
      <w:r>
        <w:t>En raison de la nationalité étrangère des parties, le litige présente un élément d'extranéité. Au vu des domiciles et de la résidence habituelle des parties et de leurs enfants mineurs à Genève, les tribunaux genevois sont compétents pour trancher le présent litige portant sur l'obligation alimentaire entre les époux et à l'égard de leurs enfants (art. 2 ch. 2 CL [RS 0.275.12], art. 2 et 10 al. 1 let. a CPC). Le droit suisse est par ailleurs applicable (art. 49 et 83 al. 1 LDIP, art. 4 al. 1 de la Convention de La Haye du 2 octobre 1973 sur la loi applicable aux obligations alimentaires [RS 0.211.213.01]).</w:t>
      </w:r>
    </w:p>
    <w:p>
      <w:r>
        <w:rPr>
          <w:b/>
        </w:rPr>
        <w:t>E. 3</w:t>
      </w:r>
    </w:p>
    <w:p>
      <w:r>
        <w:t>Les parties ont produit des pièces nouvelles en appel.</w:t>
      </w:r>
    </w:p>
    <w:p>
      <w:r>
        <w:t>- 6/12 -</w:t>
      </w:r>
    </w:p>
    <w:p>
      <w:r>
        <w:t>C/26087/2017</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w:t>
      </w:r>
    </w:p>
    <w:p>
      <w:r>
        <w:rPr>
          <w:b/>
        </w:rPr>
        <w:t>E. 3.2</w:t>
      </w:r>
    </w:p>
    <w:p>
      <w:r>
        <w:t>En l'espèce, toutes les pièces nouvelles produites en appel sont recevables, dès lors qu’elles sont relatives à des éléments entrant en considération pour fixer la contribution due à l’entretien des enfants mineurs.</w:t>
      </w:r>
    </w:p>
    <w:p>
      <w:r>
        <w:rPr>
          <w:b/>
        </w:rPr>
        <w:t>E. 4</w:t>
      </w:r>
    </w:p>
    <w:p>
      <w:r>
        <w:t>L’appelant reproche au premier juge de l’avoir condamné au versement d’une contribution à l’entretien de ses enfants en violation de son droit à conserver son minimum vital. 4.1.1 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ainsi qu'à la situation et aux ressources de ses père et mère (art. 285 al. 1 CC). La loi ne prescrit pas de méthode de calcul particulière pour arrêter la contribution d'entretien en faveur de l'enfant. Sa fixation relève de l'appréciation du juge, qui jouit d'un large pouvoir à cet égard (art. 4 CC; ATF 128 III 411 consid. 3.2.2; ATF 128 III 161 consid. 2c/aa; arrêt du Tribunal fédéral 5A_817/2016 du 1er mai 2017 consid. 4.1.3.1). 4.1.2 L'obligation d'entretien trouve sa limite dans la capacité contributive du débirentier, en ce sens que le minimum vital de celui-ci doit être préservé (ATF 140 III 337 consid. 4.3; 135 III 66 consid. 2; arrêt du Tribunal fédéral 5A_104/2017 du 11 mai 2017 consid. 3.3.4.2).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5A_104/2017 précité).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w:t>
      </w:r>
    </w:p>
    <w:p>
      <w:r>
        <w:t>- 7/12 -</w:t>
      </w:r>
    </w:p>
    <w:p>
      <w:r>
        <w:t>C/26087/2017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arrêt du Tribunal fédéral 5A_104/2017 précité).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143 III 233 consid. 3.2; 137 III 102 consid. 4.2.2.2; arrêt du Tribunal fédéral 5A_764/2017 du 7 mars 2018 consid. 3.2). Pour arrêter le montant du salaire, le juge peut éventuellement se baser sur l'enquête suisse sur la structure des salaires, réalisée par l'Office fédéral de la statistique, ou sur d'autres sources (ATF 137 III 118 consid. 3.2; arrêt du Tribunal fédéral 5A_764/2017 précité). 4.1.3 En cas de situations financières modestes ou moyennes, les charges des parties se calculent en se fondant sur le minimum vital de base du droit des poursuites (art. 93 LP), élargi des dépenses incompressibles (ATF 110 III 17 consid. 2b; arrêts du Tribunal fédéral 5A_143/2017 du 20 février 2017 consid. 4.3 ; 5A_65/2013 du 4 septembre 2013 consid. 3.1.2). Les allocations familiales, qui font partie des revenus de l’enfant et sont affectées exclusivement à l’entretien de ceux-ci, doivent être retranchées du coût d’entretien de l’enfant (arrêt du Tribunal fédéral 5A_511/2010 du 4 février 2011 consid. 3). 4.1.4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 du Tribunal fédéral 5A_458/2014 du 8 septembre 2014 consid. 4.1.2). L’effet rétroactif ne se justifie que si l'entretien dû n'a pas été assumé en nature ou en espèces ou dès qu'il a cessé de l'être (arrêts du Tribunal fédéral 5A_372/2015 du 29 septembre 2015 consid. 3.1 ; 5A_591/2011 du</w:t>
      </w:r>
    </w:p>
    <w:p>
      <w:r>
        <w:rPr>
          <w:b/>
        </w:rPr>
        <w:t>E. 7</w:t>
      </w:r>
    </w:p>
    <w:p>
      <w:r>
        <w:t>décembre 2011 consid. 5.2).</w:t>
      </w:r>
    </w:p>
    <w:p>
      <w:r>
        <w:t>- 8/12 -</w:t>
      </w:r>
    </w:p>
    <w:p>
      <w:r>
        <w:t>C/26087/2017 Une limitation temporelle absolue de l'obligation d'entretien au moment où l'enfant atteint l'âge de 25 ans révolus n'existe pas en droit civil (ATF 130 V 237 arrêt du Tribunal fédéral 5A_330/2014 du 30 octobre 2014 consid. 8.3). 4.1.5 Selon l'art. 301a CPC, la convention d'entretien ou la décision qui fixe les contributions d'entretien indique les éléments du revenu et de la fortune de chaque parent et de chaque enfant pris en compte dans le calcul (let. a), le montant attribué à chaque enfant (let. b), le montant nécessaire pour assurer l'entretien convenable de chaque enfant (let. c), si et dans quelle mesure les contributions d'entretien doivent être adaptées aux variations du coût de la vie (let. d). Ces éléments doivent être indiqués clairement dans la décision, mais la loi laisse au juge le soin de décider de la meilleure manière de les intégrer dans l'acte. Les montants des contributions d'entretien ainsi que l'éventuelle adaptation aux variations du coût de la vie doivent de par leur nature faire partie du dispositif, mais les autres éléments peuvent résulter des considérants. Dans les situations de déficit, il convient d'indiquer dans le dispositif également le montant nécessaire pour assurer l'entretien convenable de chaque enfant (Message du Conseil fédéral du 29 novembre 2013 concernant la révision du code civil suisse (Entretien de l'enfant), FF 2014 p. 561).</w:t>
      </w:r>
    </w:p>
    <w:p>
      <w:r>
        <w:t>4.2.1 En l’espèce, l’entretien convenable de chacun des enfants est de 1'059 fr., hors allocations familiales, comprenant leur participation au loyer (311 fr. soit 15% de 2'072 fr.), la prime d’assurance-maladie de base (103 fr.), les frais de transport (45 fr.) et leur entretien de base selon les normes OP (600 fr.). Compte tenu des allocations familiales perçues par C______ (400 fr.) et D______ (300 fr.), leurs besoins non couverts respectifs s’élèvent à 659 fr. pour C______ et 759 fr. pour D______. 4.2.2 Depuis le mois d’octobre 2018, l’appelant réalise un salaire mensuel brut de 4'500 fr., qui peut être arrêté à 3'800 fr. nets après déductions de cotisations sociales. Même si son contrat de durée déterminée est destiné à prendre fin au mois de mars 2019, l’appelant qui a bénéficié de trois ans de formation comme opérateur en horlogerie (AFP en horlogerie) sera en mesure de réaliser auprès d’un autre employeur de la branche un salaire mensuel brut de 4'570 fr., soit le salaire minimal prévu à Genève par la Convention collective de travail des industries horlogère et microtechnique suisses pour les personnes disposant d’un CFC ou diplôme équivalent, après une formation minimum de trois ans pour l’activité exercée (www.service-cct.ch). C’est à tort que l’intimée fait valoir que le revenu hypothétique retenu pour l’appelant doit être identique aux indemnités journalières qu’il percevait précédemment de l’assurance-accident, dès lors que ces indemnités étaient calculées au regard du salaire perçu par l’appelant dans le cadre de son ancienne activité professionnelle. Au vu de ce qui précède, le revenu mensuel net de l’appelant sera arrêté à 3'800 fr.</w:t>
      </w:r>
    </w:p>
    <w:p>
      <w:r>
        <w:t>- 9/12 -</w:t>
      </w:r>
    </w:p>
    <w:p>
      <w:r>
        <w:t>C/26087/2017 Les charges admissibles de l’appelant s’élèvent à 3'398 fr., comprenant le loyer, charges comprises (1'620 fr.), la prime d’assurance-maladie de base (508 fr.), les frais de transport (70 fr.) et son entretien de base selon les normes OP (1'200 fr.). Selon les statistiques cantonales, en tant que nouveau locataire, des logements seraient proposés à l'appelant au loyer moyen de 1'491 fr. par mois, pour un trois pièces, charges non comprises (cf. annuaire statistique du Canton de Genève pour 2017, page 106 : logement de deux et trois pièces à loyer libre loué à des nouveaux locataires lors des douze derniers mois) de sorte qu’il n’y a pas lieu d’exiger de lui qu’il quitte son logement actuel dont le loyer hors charges s’élève à 1'480 fr. par mois. Le solde mensuel de l’appelant s’élève ainsi à 402 fr. (3'800 fr. – 3'398 fr.). Dès lors qu’il ne peut être porté atteinte au minimum vital de l’appelant, ce dernier sera condamné à verser en mains de l’intimée, à titre de contribution à l’entretien des enfants, 200 fr. par mois, d’avance et par enfant, allocations familiales non comprises, jusqu'à la majorité, voire au-delà en cas de poursuite d'une formation professionnelle ou d'études sérieuses et régulières. La limite de 25 ans ne trouvant pas d'assise en droit civil, la contribution d'entretien ne sera pas limitée à cet âge. 4.2.3 L’intimée a conclu au versement des contributions d’entretien dès le dépôt de la requête. Cela étant, à cette date l’appelant vivait encore au domicile conjugal et il a rendu vraisemblable avoir continué de contribuer à l’entretien de la famille jusqu’à son départ en septembre 2018 par des achats courants et le versement du loyer. En effet, les paiements opérés par l’appelant se rapportent vraisemblablement à ce dernier au vu des montants versés et l’intimée n’a pour sa part pas prouvé s’être acquittée dudit loyer avant le mois de septembre 2018. Par conséquent, il n’y a pas lieu de condamner l’appelant à verser une contribution à l’entretien de ses enfants antérieurement au 1er septembre 2018. L’appelant s’étant d’ores et déjà acquitté d’une somme totale de 2'090 fr. (900 fr. + 450 fr. + 700 fr.) au titre de contribution d’entretien envers l’intimée depuis le mois de septembre 2018, le point de départ du versement des contributions d’entretien sera fixé au 1er février 2019. Les contributions versées par l’appelant au titre de contribution à l’entretien de ses enfants étant insuffisantes à couvrir leur entretien convenable, ce dernier sera indiqué dans le dispositif du présent arrêt. 5. 5.1 Si l'instance d'appel statue à nouveau, elle se prononce sur les frais de la première instance (art. 318 al. 3 CPC). Les parties ne critiquent ni la quotité ni la répartition des frais de première instance, laquelle apparaît au demeurant conforme au règlement fixant le tarif des</w:t>
      </w:r>
    </w:p>
    <w:p>
      <w:r>
        <w:t>- 10/12 -</w:t>
      </w:r>
    </w:p>
    <w:p>
      <w:r>
        <w:t>C/26087/2017 frais en matière civile (RTFMC; E 1 05.10). Ces éléments seront donc confirmés, compte tenu de la nature familiale du litige. 5.2 Les frais judiciaires d’appel seront fixés à 600 fr., y compris ceux relatifs à la décision sur effet suspensif (art. 31 et 35 RTFMC), et mis à la charge des parties par moitié chacune compte tenu de l'issue du litige et de sa nature familiale (art. 95, 105, 106 et 107 al. 1 let. c CPC). Ils seront compensés à concurrence de 300 fr. avec l’avance de frais payée par l’appelant, laquelle demeure acquise à l’Etat de Genève (art. 111 al. 1 CPC). Le solde de l’avance versée par l’appelant, soit 700 fr. (1'000 fr. – 300 fr.), lui sera restitué. L’intimée plaidant au bénéfice de l’Assistance judiciaire, les frais lui incombant seront provisoirement supportés par l'Etat de Genève (art. 122 et 123 CPC). Pour le surplus, chaque partie supportera ses propres dépens d'appel (art. 107 al. 1 let. c CPC). 6.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w:t>
      </w:r>
    </w:p>
    <w:p>
      <w:r>
        <w:t>- 11/12 -</w:t>
      </w:r>
    </w:p>
    <w:p>
      <w:r>
        <w:t>C/26087/2017 PAR CES MOTIFS, La Chambre civile : A la forme : Déclare recevable l'appel interjeté le 11 octobre 2018 par A______ contre le chiffre 4 du dispositif du jugement JTPI/14750/2018 rendu le 27 septembre 2018 par le Tribunal de première instance dans la cause C/26087/2017-1. Au fond : Annule le chiffre 4 du dispositif de cette décision et, statuant à nouveau sur ce point : Fixe l’entretien convenable des enfants, hors allocations familiales, à 1’059 fr. par mois et par enfant. Condamne A______ à verser en mains de B______, dès le 1er février 2019, par mois, d’avance et par enfant, allocations familiales non comprises, 200 fr. jusqu'à la majorité, voire au-delà en cas de poursuite d'une formation professionnelle ou d'études sérieuses et régulières. Confirme le jugement pour le surplus. Déboute les parties de toutes autres conclusions. Sur les frais : Arrête les frais judiciaires d’appel à 600 fr., les met à la charge des deux parties, pour moitié chacune et les compense à concurrence de 300 fr. avec l’avance de frais fournie par A______. Invite les Services financiers du Pouvoir judiciaire à restituer 700 fr. à A______. Dit que la part des frais judiciaires mis à la charge de B______ sont supportés provisoirement par l'Etat de Genève. Dit que chaque partie supporte ses propres dépens d’appel. Siégeant : Monsieur Ivo BUETTI, président; Madame Sylvie DROIN, Madame Nathalie RAPP, juges; Madame Camille LESTEVEN, greffière. Le président : Ivo BUETTI</w:t>
      </w:r>
    </w:p>
    <w:p>
      <w:r>
        <w:t>La greffière : Camille LESTEVEN</w:t>
      </w:r>
    </w:p>
    <w:p>
      <w:r>
        <w:t>- 12/12 -</w:t>
      </w:r>
    </w:p>
    <w:p>
      <w:r>
        <w:t>C/26087/2017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