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ACJC/1656/2020 vom 10. Dezember 2020</w:t>
      </w:r>
    </w:p>
    <w:p>
      <w:r>
        <w:t>GE Cour de justice, 2020-12-10, FR</w:t>
      </w:r>
    </w:p>
    <w:p>
      <w:r>
        <w:rPr>
          <w:b/>
        </w:rPr>
        <w:t xml:space="preserve">Quelle: </w:t>
      </w:r>
      <w:r>
        <w:t>https://mcp.opencaselaw.ch/entscheid/ge_gerichte_ACJC_1656_2020</w:t>
      </w:r>
    </w:p>
    <w:p>
      <w:r>
        <w:t>FR: GE_GERICHTE ACJC/1656/2020 du 10 décembre 2020</w:t>
      </w:r>
    </w:p>
    <w:p>
      <w:r>
        <w:t>IT: GE_GERICHTE ACJC/1656/2020 del 10 dicembre 2020</w:t>
      </w:r>
    </w:p>
    <w:p>
      <w:pPr>
        <w:pStyle w:val="Heading2"/>
      </w:pPr>
      <w:r>
        <w:t>Erwägungen</w:t>
      </w:r>
    </w:p>
    <w:p>
      <w:r>
        <w:rPr>
          <w:b/>
        </w:rPr>
        <w:t>E. 18</w:t>
      </w:r>
    </w:p>
    <w:p>
      <w:r>
        <w:t>avril 2013 consid. 5.1.2).</w:t>
      </w:r>
    </w:p>
    <w:p>
      <w:r>
        <w:t>4.2 En l'espèce, au vu tant des renseignements portés à la connaissance de la Cour et de l'âge de C______ (lequel aura 18 ans en ______ prochain) que du principe de célérité applicable à la présente procédure sommaire, la Cour s'estime suffisamment renseignée sur la situation des parties, de sorte qu'il ne sera pas donné suite à la requête de l'intimée. 5. L'appelant sollicite l'instauration d'une garde alternée sur C______ à raison d'une semaine sur deux et de la moitié des vacances scolaires.</w:t>
      </w:r>
    </w:p>
    <w:p>
      <w:r>
        <w:t>Il fait valoir que son fils, âgé de 17 ans, a exprimé son souhait de partager son temps à parts égales entre ses deux parents lors de son audition par le premier</w:t>
      </w:r>
    </w:p>
    <w:p>
      <w:r>
        <w:t>- 9/18 -</w:t>
      </w:r>
    </w:p>
    <w:p>
      <w:r>
        <w:t>C/29308/2019 juge. Alors qu'il avait lui-même demandé, dans un premier temps, l'attribution en sa faveur de la garde exclusive de son fils, l'appelant s'était finalement rallié au souhait de ce dernier. Le père reproche au Tribunal de ne pas avoir tenu compte du souhait exprimé par l'adolescent. Par ailleurs, il dispose dorénavant d'un appartement à proximité du domicile conjugal, lui permettant d'accueillir son fils de manière adéquate.</w:t>
      </w:r>
    </w:p>
    <w:p>
      <w:r>
        <w:t>L'intimée relève qu'il n'est pas contesté qu'elle s'est occupée de son fils de manière prépondérante. Elle soutient que le souhait de C______ n'est pas un critère suffisant pour instaurer une garde alternée, que la condition de la proximité entre les logements des parents n'est pas remplie, puisque le bail de sous-location du domicile conjugal est échu et qu'elle doit trouver un nouveau domicile et, en particulier, que la communication parentale est totalement absente et le conflit parental très important. 5.1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 des périodes plus ou moins égales (arrêts du Tribunal fédéral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w:t>
      </w:r>
    </w:p>
    <w:p>
      <w:r>
        <w:t>- 10/18 -</w:t>
      </w:r>
    </w:p>
    <w:p>
      <w:r>
        <w:t>C/29308/2019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t>5.2 In casu, C______ a exprimé le souhait de partager son temps à parts égales entre ses parents, souhait auquel il convient d'accorder une importance particulière compte tenu de son âge (17 ans). A cela s'ajoute que les parties ne remettent pas en question leurs capacités parentales respectives. Le fait que, comme l'allègue l'intimée, la communication parentale serait actuellement absente et le conflit parental important, n'est pas déterminant dans le cas d'espèce, dans la mesure où, quand bien même cela serait exact - ce qu'aucun élément du dossier ne confirme -, C______ deviendra majeur dans quelques mois, que sa prise en charge ne présente pas de difficultés particulières et que l'autonomie inhérente à son âge rend la communication parentale moins décisive. S'agissant de la proximité des domiciles des parents, il appartiendra à l'intimée de rechercher un nouvel appartement proche de celui de l'appelant, étant toutefois relevé que, si elle n'y parvenait pas, il peut être attendu de l'adolescent qu'il se déplace.</w:t>
      </w:r>
    </w:p>
    <w:p>
      <w:r>
        <w:t>- 11/18 -</w:t>
      </w:r>
    </w:p>
    <w:p>
      <w:r>
        <w:t>C/29308/2019</w:t>
      </w:r>
    </w:p>
    <w:p>
      <w:r>
        <w:t>Au vu de ces éléments, il se justifie d'instaurer une garde alternée sur C______ devant s'exercer à raison d'une semaine sur deux.</w:t>
      </w:r>
    </w:p>
    <w:p>
      <w:r>
        <w:t>5.3 Par conséquent, le chiffre 3 du dispositif du jugement entrepris sera annulé et il sera statué dans le sens de ce qui précède. Le chiffre 4 du dispositif de la décision attaquée sera également annulé, la règlementation du droit de visite n'ayant plus d'objet. 6. Compte tenu de la garde partagée instaurée, se pose la question du domicile légal de l'enfant. 6.1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w:t>
      </w:r>
    </w:p>
    <w:p>
      <w:r>
        <w:t>6.2 En l'occurrence, la mère ayant jusqu'à présent pris en charge de manière prépondérante C______, il se justifie de fixer le domicile légal de l'enfant chez celle-ci. 7. L'appelant remet en cause les contributions à l'entretien de C______ et de son épouse fixées par le premier juge.</w:t>
      </w:r>
    </w:p>
    <w:p>
      <w:r>
        <w:t>Il fait valoir que la situation financière des parties a été mal évaluée et qu'il convient de tenir compte de son nouveau loyer.</w:t>
      </w:r>
    </w:p>
    <w:p>
      <w:r>
        <w:t>7.1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w:t>
      </w:r>
    </w:p>
    <w:p>
      <w:r>
        <w:t>- 12/18 -</w:t>
      </w:r>
    </w:p>
    <w:p>
      <w:r>
        <w:t>C/29308/2019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7.2 En vertu de l'art. 176 al. 3 CC, relatif à l'organisation de la vie séparée, lorsque les époux ont des enfants mineurs, le juge ordonne les mesures nécessaires d'après les dispositions sur les effets de la filiation (cf. art. 273 ss CC). 7.3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Les besoins de l'enfant doivent être répartis entre les père et mère en fonction de leurs capacités contributives respectives. Les enfants ont le droit de recevoir une éducation et de bénéficier d'un niveau de vie qui correspondent à la situation des parents (ATF 120 II 285 consid. 3).</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Si les moyens des père et mère sont limités par rapport aux besoins vitaux, il faut s'en tenir aux charges comprises dans le minimum vital au sens du droit des poursuites, qui doit être en principe garanti au débirentier, sans prendre en considération les impôts courants (ATF 140 III 337 consid. 4.2.3 et 4.4; 127 III 68 consid. 2b).</w:t>
      </w:r>
    </w:p>
    <w:p>
      <w:r>
        <w:t>- 13/18 -</w:t>
      </w:r>
    </w:p>
    <w:p>
      <w:r>
        <w:t>C/29308/2019 Le minimum vital du débirentier doit en principe être préservé (ATF 137 III 59 consid. 4.2). 7.4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7.5 En l'espèce, les parties ne contestent pas l'application de la méthode du minimum vital avec répartition de l'excédent. Vu la situation financière des parties, il ne sera pas tenu compte de leur charge fiscale.</w:t>
      </w:r>
    </w:p>
    <w:p>
      <w:r>
        <w:t>Les époux ne contestent pas non plus le dies a quo fixé au 1er août 2020 par le premier juge.</w:t>
      </w:r>
    </w:p>
    <w:p>
      <w:r>
        <w:t>S'agissant des allocations familiales versées en faveur de C______, il sera constaté qu'elles sont acquises à l'intimée dès le 1er août 2020 conformément aux conclusions de l'appelant.</w:t>
      </w:r>
    </w:p>
    <w:p>
      <w:r>
        <w:t>7.5.1 Les revenus de l'appelant seront retenus à hauteur d'environ 5'000 fr. par mois tels qu'arrêtés par le premier juge et non remis en cause par l'appelant, les contestations de l'intimée à cet égard étant insuffisamment motivées. Ses charges incompressibles s'élèvent à 3'112 fr. par mois dès août 2020, comprenant 80% de son loyer (80% de 1'790 fr., soit 1'432 fr.), la prime d'assurance-maladie LAMal (330 fr.) et le montant de base selon les normes OP (1'350 fr.), à l'exclusion des frais de transports publics, l'appelant n'ayant pas</w:t>
      </w:r>
    </w:p>
    <w:p>
      <w:r>
        <w:t>- 14/18 -</w:t>
      </w:r>
    </w:p>
    <w:p>
      <w:r>
        <w:t>C/29308/2019 allégué leur nécessité en sus du véhicule, dont les frais sont intégrés au bilan de son entreprise. L'intimée réclame qu'il ne soit pas tenu compte du loyer de l'appartement au 3______ . Certes, l'appelant ne s'est pas déterminé sur ce point. Cela étant, l'intimée ne saurait être suivie. En effet, l'appelant a pris à bail cet appartement dès le début de son activité d'indépendant en janvier 2019, soit dix-huit mois avant qu'il ne quitte le domicile conjugal. Cet appartement - bien qu'il s'agisse d'un logement d'habitation - a ainsi été utilisé par l'appelant comme local commercial pour son activité professionnelle depuis janvier 2019. Il apparaît ainsi hautement vraisemblable que tel est encore le cas depuis la constitution de son nouveau domicile. L'appelant dispose, ainsi, d'un montant disponible d'environ 1'888 fr. par mois.</w:t>
      </w:r>
    </w:p>
    <w:p>
      <w:r>
        <w:t>7.5.2 L'intimée ne conteste pas le revenu hypothétique arrêté à 3'165 fr. nets par mois par le premier juge dès le 1er octobre 2020. Contrairement à ce que soutient l'appelant, il ne saurait être retenu que le Tribunal aurait dû fixer un montant supérieur en se conformant au Contrat-type de travail de l'économie domestique, puisque ledit contrat-type ne vise que l'activité déployée dans un ménage privé, une pension ou une autre institution non soumise à la LTr, et que c'est à raison que le premier juge n'a pas limité son appréciation à ce domaine d'activité.</w:t>
      </w:r>
    </w:p>
    <w:p>
      <w:r>
        <w:t>Les charges incompressibles de l'intimée s'élèvent à environ 3'248 fr. (cf. supra EN FAIT let. C.i.b).</w:t>
      </w:r>
    </w:p>
    <w:p>
      <w:r>
        <w:t>L'intimée doit ainsi faire face à un déficit mensuel de 3'248 fr. pour les mois d'août et septembre 2020, puis de 83 fr. dès octobre 2020.</w:t>
      </w:r>
    </w:p>
    <w:p>
      <w:r>
        <w:t>7.5.3 En ce qui concerne C______, ses charges incompressibles peuvent être arrêtées à environ 1'405 fr., comprenant 20% du loyer de sa mère (20% de 1'770 fr., soit 354 fr.), 20% du loyer de son père (20% de 1'790 fr., soit 358 fr.), la prime d'assurance-maladie LAMal (46 fr. 50, subside de 100 fr. déduit), les frais de transports publics (45 fr.) et le montant de base (600 fr.), soit 658 fr. à la charge du père au vu de la garde alternée instaurée (20% du loyer de ce dernier et la moitié du montant de base) et 347 fr. à la charge de la mère (charges restantes, sous déduction des allocations familiales), laquelle se chargera de payer les factures courantes de l'enfant.</w:t>
      </w:r>
    </w:p>
    <w:p>
      <w:r>
        <w:t>7.5.4 Au vu de ce qui précède, en particulier de la situation financière respective des parties, il se justifie de mettre le coût de C______ assumé par sa mère (347 fr.) à la charge de l'appelant. Ce dernier sera donc condamné au versement d'une contribution à l'entretien de son fils arrondie à 350 fr. dès août 2020.</w:t>
      </w:r>
    </w:p>
    <w:p>
      <w:r>
        <w:t>- 15/18 -</w:t>
      </w:r>
    </w:p>
    <w:p>
      <w:r>
        <w:t>C/29308/2019 Les contributions en faveur d'un enfant sont dues jusqu'à sa majorité, voire au- delà en cas de poursuite suivie et régulière d'études ou d'une formation professionnelle.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w:t>
      </w:r>
    </w:p>
    <w:p>
      <w:r>
        <w:t>S'agissant de l'intimée, il convient de condamner l'appelant au versement de l'entier de son solde disponible après couverture des charges de C______, solde correspondant à 880 fr. par mois pour les mois d'août et de septembre 2020 (1'888 fr. – [658 fr. de charges de C______ assumée directement par le père + 350 fr. de contribution à l'entretien de C______ versée à la mère]). Dès octobre 2020, l'intimée pourra prétendre à la couverture de son déficit (83 fr.) et à la moitié du solde disponible (797 fr. / 2 = 398 fr. 50), soit au montant arrondi de 480 fr.</w:t>
      </w:r>
    </w:p>
    <w:p>
      <w:r>
        <w:t>Par conséquent, les chiffres 5 et 6 du dispositif du jugement entrepris seront annulés et l'appelant condamné dans le sens de ce qui précède. 8.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8.1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 8.2 Vu la nature familiale du litige, les frais judiciaires, arrêtés à 800 fr. (art. 31 et 35 RTFMC); seront mis à la charge des parties pour moitié chacune (art. 107 al. 1 let. c CPC) et compensés à concurrence de 400 fr. avec l'avance versée par l'appelant, qui reste acquise à l'Etat de Genève (art. 111 al. 1 CPC).</w:t>
      </w:r>
    </w:p>
    <w:p>
      <w:r>
        <w:t>L'intimée plaidant au bénéfice de l'assistance juridique, sa part des frais judiciaires sera provisoirement supportée par l'Etat (art. 122 al. 1 let. b CPC), étant rappelé que les bénéficiaires de l'assistance juridique sont tenus au remboursement des frais judiciaires mis à la charge de l'Etat de Genève dans la mesure de l'art. 123 CPC (art. 19 RAJ).</w:t>
      </w:r>
    </w:p>
    <w:p>
      <w:r>
        <w:t>- 16/18 -</w:t>
      </w:r>
    </w:p>
    <w:p>
      <w:r>
        <w:t>C/29308/2019</w:t>
      </w:r>
    </w:p>
    <w:p>
      <w:r>
        <w:t>Les Services financiers du Pouvoir judiciaire seront donc invités à restituer 400 fr. à l'appelant.</w:t>
      </w:r>
    </w:p>
    <w:p>
      <w:r>
        <w:t>Pour les mêmes motifs, chaque partie supportera ses propres dépens d'appel (art. 107 al. 1 let. c CPC). * * * * *</w:t>
      </w:r>
    </w:p>
    <w:p>
      <w:r>
        <w:t>- 17/18 -</w:t>
      </w:r>
    </w:p>
    <w:p>
      <w:r>
        <w:t>C/29308/2019 PAR CES MOTIFS, La Chambre civile : A la forme : Déclare recevable l'appel interjeté le 7 août 2020 par A______ contre les chiffres 3 à 6 du dispositif du jugement JTPI/9302/2019 rendu le 27 juillet 2020 par le Tribunal de première instance dans la cause C/29308/2019-13. Au fond : Annule les chiffres 3 à 6 du dispositif dudit jugement et statuant à nouveau sur ces points : Instaure une garde alternée sur C______, devant s'exercer à raison d'une semaine sur deux et de la moitié des vacances scolaires chez chaque parent. Fixe le domicile légal de C______ chez B______. Dit que les allocations familiales versées en faveur de C______ sont acquises à B______ dès le 1er août 2020. Condamne A______ à verser en mains de B______, par mois et d'avance, allocations familiales non comprises, une contribution à l'entretien de C______ de 350 fr. dès le 1er août 2020 et jusqu'à sa majorité, voire au-delà en cas de poursuite suivie et régulière d'études ou d'une formation professionnelle. Condamne A______ à verser à B______, par mois et d'avance, une contribution à son entretien de 880 fr. pour les mois d'août et de septembre 2020, puis de 480 fr. dès le 1er octobre 2020. Déboute les parties de toutes autres conclusions. Sur les frais : Arrête les frais judiciaires d'appel à 800 fr., les met à la charge des parties par moitié chacune et les compense à concurrence de 400 fr. avec l'avance fournie par A______, laquelle demeure acquise à l'Etat de Genève. Dit que la part des frais de B______, soit 400 fr., sera provisoirement supportée par l'Etat de Genève, vu l'octroi de l'assistance judiciaire. Invite les Services financiers du Pouvoir judiciaire à restituer 400 fr. à A______.</w:t>
      </w:r>
    </w:p>
    <w:p>
      <w:r>
        <w:t>- 18/18 -</w:t>
      </w:r>
    </w:p>
    <w:p>
      <w:r>
        <w:t>C/29308/2019 Dit que chaque partie supporte ses propres dépens d'appel. Siégeant : Madame Nathalie RAPP, présidente; Madame Sylvie DROIN, Monsieur Jean REYMOND, juges; Madame Camille LESTEVEN, greffière.</w:t>
      </w:r>
    </w:p>
    <w:p>
      <w:r>
        <w:t>La présidente : Nathalie RAPP</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