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ACJC/1656/2017 vom 15. August 2017</w:t>
      </w:r>
    </w:p>
    <w:p>
      <w:r>
        <w:t>GE Cour de justice, 2017-08-15, FR</w:t>
      </w:r>
    </w:p>
    <w:p>
      <w:r>
        <w:rPr>
          <w:b/>
        </w:rPr>
        <w:t xml:space="preserve">Quelle: </w:t>
      </w:r>
      <w:r>
        <w:t>https://mcp.opencaselaw.ch/entscheid/ge_gerichte_ACJC_1656_2017</w:t>
      </w:r>
    </w:p>
    <w:p>
      <w:r>
        <w:t>FR: GE_GERICHTE ACJC/1656/2017 du 15 août 2017</w:t>
      </w:r>
    </w:p>
    <w:p>
      <w:r>
        <w:t>IT: GE_GERICHTE ACJC/1656/2017 del 15 agosto 2017</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1.3</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w:t>
      </w:r>
    </w:p>
    <w:p>
      <w:r>
        <w:rPr>
          <w:b/>
        </w:rPr>
        <w:t>E. 3</w:t>
      </w:r>
    </w:p>
    <w:p>
      <w:r>
        <w:t>L'appelant fait grief au Tribunal d'avoir constaté les faits de façon inexacte, en retenant que l'intimée réalisait un revenu mensuel net de 2'000 fr., alors qu'elle avait reconnu en audience gagner beaucoup plus. Il avait en outre appris, après le prononcé du jugement, que son épouse percevait un salaire complémentaire en effectuant des heures de ménage pour une société de nettoyage. Il reproche dès lors au Tribunal de l'avoir condamné à contribuer à l'entretien de son épouse, alors que celle-ci est en mesure d'assumer ses propres charges et que lui-même peine à couvrir ses charges "réelles", lesquelles s'élèvent à près de 4'000 fr. en tenant compte de ses dettes contractées au Portugal avant le mariage.</w:t>
      </w:r>
    </w:p>
    <w:p>
      <w:r>
        <w:t>- 5/9 -</w:t>
      </w:r>
    </w:p>
    <w:p>
      <w:r>
        <w:t>C/7847/2017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La loi ne prescrit pas de méthode de calcul particulière pour arrêter la contribution d'entretien. Sa fixation relève de l'appréciation du juge, qui jouit d'un large pouvoir d'appréciation et applique les règles du droit et de l'équité (art. 4 CC; ATF 127 III 136 consid. 3; arrêt du Tribunal fédéral 5A_251/2016 du 15 août 2016 consid. 2.1.1). Le minimum vital du débirentier doit dans tous les cas être préservé (ATF 140 III 337 consid. 4.3; 135 III 66 consid. 2; arrêt du Tribunal fédéral 5A_103/2017 du 11 mai 2017 consid. 3.3.4.2). 3.1.2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les cotisations au</w:t>
      </w:r>
    </w:p>
    <w:p>
      <w:r>
        <w:t>- 6/9 -</w:t>
      </w:r>
    </w:p>
    <w:p>
      <w:r>
        <w:t>C/7847/2017 3ème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L'amortissement de la dette hypothécaire, qui ne sert pas à l'entretien mais à la constitution du patrimoine, n'a en principe pas à être pris en considération pour le calcul du minimum vital (ATF 127 III 289, JdT 2002 I 236; FamPra 2001 p. 807; arrêts du Tribunal fédéral 5A_105/2017 du 17 mai 2017 consid. 3.3.1). La contribution d'entretien est ensuite calculée sur cette base de telle manière que les deux époux bénéficient dans une égale mesure du disponible total restant après couverture de leurs charges respectives; en règle générale, l'excédent est réparti par moitié entre eux (ATF 121 I 97 consid. 3b; 114 II 26 consid. 7). 3.2.1 En l'espèce, le premier juge a appliqué la méthode du minimum vital, avec répartition de l'excédent, ce que les parties ne remettent pas en cause en appel. L'appelant travaille en qualité d'installateur sanitaire. A l'époque du dépôt de la requête, il était en arrêt-maladie et percevait, en moyenne, un revenu net de 4'500 fr. Entendu par le premier juge début juin 2017, il a déclaré qu'il avait repris le travail à 100% depuis un mois et que ses revenus nets oscillaient entre 4'000 fr. et 4'300 fr. par mois, ce qui correspond à un salaire moyen de 4'150 fr. L'appelant n'ayant produit aucun titre propre à établir la quotité de ses revenus à partir du mois d'avril 2017, le Tribunal n'avait pas de raison de s'écarter des déclarations de l'époux, non contestées par l'épouse. Les charges mensuelles de l'appelant ont été arrêtées à 3'166 fr. 95 par le premier juge. A cet égard, l'intimée conteste le montant de 100 fr. retenu dans le budget de l'époux pour ses frais de parking, alors que celui-ci n'allègue pas avoir besoin d'un véhicule pour son activité professionnelle. Elle relève, avec raison, qu'il n'existe pas d'indice que les baux de l'appartement et du parking seraient liés et que l'appelant aurait été contraint de les louer conjointement, comme il le prétend. Au contraire, il ressort du dossier que ces baux font l'objet de contrats distincts, signés à dix jours d'intervalle, et qu'ils prévoient des échéances et clauses de renouvellement sensiblement différentes. Dans la mesure toutefois où les revenus cumulés des époux suffisent à couvrir leur minimum vital, élargi à certaines dépenses non strictement nécessaires, telles que les primes d'assurance-maladie complémentaire, le fait que le Tribunal ait inclus ce poste dans les charges de l'appelant ne prête pas le flanc à la critique. Enfin, c'est à bon droit que le premier juge n'a pas tenu compte des frais relatifs à la maison dont l'appelant est propriétaire au Portugal et de ses arriérés de cotisations sociales, dettes qu'il a contractées dans son seul intérêt et qui doivent céder le pas aux créances d'aliments.</w:t>
      </w:r>
    </w:p>
    <w:p>
      <w:r>
        <w:t>- 7/9 -</w:t>
      </w:r>
    </w:p>
    <w:p>
      <w:r>
        <w:t>C/7847/2017 Au vu de ce qui précède, les revenus et charges retenus par le Tribunal à l'égard de l'appelant ne sont pas critiquables. L'époux bénéficie ainsi d'un disponible de 983 fr. 05 par mois (4'150 fr. - 3'166 fr. 95). 3.2.2 L'intimée exerce une activité - non déclarée - d'employée de ménage auprès de plusieurs employeurs. L'appelant fait principalement reproche au Tribunal d'avoir arrêté le revenu moyen de l'intimée à 2'000 fr. nets. Selon lui, ce revenu aurait dû être fixé à 3'000 fr., en tenant compte d'une activité rémunérée 20 fr. de l'heure et exercée à plein temps quatre jours par semaine et à raison de 3 heures un jour par semaine. Or, contrairement à ce que soutient l'époux, l'intimée n'a pas affirmé devant le premier juge qu'elle effectuait 8 heures de travail les lundi, mercredi, jeudi et vendredi, en sus des 3 heures travaillées le mardi. En effet, l'épouse a exposé travailler "presque" toute la journée, sauf le mardi, et elle a confirmé percevoir un revenu global de 2'000 fr. (correspondant à 21,3 heures de travail par semaine), ce qui coïncide d'ailleurs avec l'estimation donnée par l'appelant lui-même. A cela s'ajoute que l'époux ne rend pas vraisemblable que l'épouse aurait récemment trouvé un emploi supplémentaire auprès d'une société de nettoyage. Par conséquent, le premier juge a correctement retenu un revenu moyen de 2'000 fr. nets à l'égard de l'intimée. Par ailleurs, l'appelant ne remet pas en cause les charges de l'intimée arrêtées à 2'877 fr. 55 par le Tribunal. L'épouse fait ainsi face à un déficit mensuel de l'ordre de 900 fr. 3.2.3 Au vu de ce qui précède, le jugement condamnant l'appelant à verser une contribution à l'entretien de son épouse de 900 fr. par mois n'est pas critiquable et sera confirmé.</w:t>
      </w:r>
    </w:p>
    <w:p>
      <w:r>
        <w:rPr>
          <w:b/>
        </w:rPr>
        <w:t>E. 4</w:t>
      </w:r>
    </w:p>
    <w:p>
      <w:r>
        <w:t>Les frais judiciaires d'appel seront fixés à 800 fr. (art. 31 et 37 du Règlement fixant le tarif des frais en matière civile; RTFMC - E 1 05.10), mis à la charge de l'appelant qui succombe (art. 95 et 106 al. 1 CPC) et compensés avec l'avance fournie par ce dernier, qui reste acquise à l'Etat de Genève (art. 111 al. 1 CPC). Vu la nature du litige, chaque partie conservera à sa charge ses propres dépens d'appel (art. 107 al. 1 let. c CPC).</w:t>
      </w:r>
    </w:p>
    <w:p>
      <w:r>
        <w:rPr>
          <w:b/>
        </w:rPr>
        <w:t>E. 5</w:t>
      </w:r>
    </w:p>
    <w:p>
      <w:r>
        <w:t>L'arrêt de la Cour, statuant sur mesures provisionnelles, est susceptible d'un recours en matière civile, les moyens étant limités en application de l'art. 98 LTF (ATF 133 III 393 consid. 5.1).</w:t>
      </w:r>
    </w:p>
    <w:p>
      <w:r>
        <w:t>- 8/9 -</w:t>
      </w:r>
    </w:p>
    <w:p>
      <w:r>
        <w:t>C/7847/2017 Vu les conclusions pécuniaires restées litigieuses devant la Cour, la valeur litigieuse au sens de la LTF est supérieure à 30'000 fr. (art. 51 al. 1 let. a et al. 4 et 74 al. 1 let. b LTF). * * * * *</w:t>
      </w:r>
    </w:p>
    <w:p>
      <w:r>
        <w:t>- 9/9 -</w:t>
      </w:r>
    </w:p>
    <w:p>
      <w:r>
        <w:t>C/7847/2017 PAR CES MOTIFS, La Chambre civile : A la forme : Déclare recevable l'appel interjeté par A______ contre le chiffre 2 du dispositif du jugement JTPI/10206/2017 rendu le 15 août 2017 par le Tribunal de première instance dans la cause C/7847/2017-16. Au fond : Confirme ce jugement. Déboute les parties de toutes autres conclusions. Sur les frais : Arrête les frais judiciaires d'appel à 800 fr., les met à la charge de A______ et les compense avec l'avance de frais versée par ce dernier, laquelle reste acquise à l'Etat de Genève. Dit que chaque partie supporte ses propres dépens d'appel. Siégeant : Monsieur Ivo BUETTI, président; Madame Sylvie DROIN et Madame Nathalie RAPP, juges; Madame Anne-Lise JAQUIER, greffière.</w:t>
      </w:r>
    </w:p>
    <w:p>
      <w:r>
        <w:t>Le président : Ivo BUETTI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