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ACJC/1654/2024 vom 30. Dezember 2024</w:t>
      </w:r>
    </w:p>
    <w:p>
      <w:r>
        <w:t>GE Cour de justice, 2024-12-30, FR</w:t>
      </w:r>
    </w:p>
    <w:p>
      <w:r>
        <w:rPr>
          <w:b/>
        </w:rPr>
        <w:t xml:space="preserve">Quelle: </w:t>
      </w:r>
      <w:r>
        <w:t>https://mcp.opencaselaw.ch/entscheid/ge_gerichte_ACJC_1654_2024</w:t>
      </w:r>
    </w:p>
    <w:p>
      <w:r>
        <w:t>FR: GE_GERICHTE ACJC/1654/2024 du 30 décembre 2024</w:t>
      </w:r>
    </w:p>
    <w:p>
      <w:r>
        <w:t>IT: GE_GERICHTE ACJC/1654/2024 del 30 dicembre 2024</w:t>
      </w:r>
    </w:p>
    <w:p>
      <w:pPr>
        <w:pStyle w:val="Heading2"/>
      </w:pPr>
      <w:r>
        <w:t>Erwägungen</w:t>
      </w:r>
    </w:p>
    <w:p>
      <w:r>
        <w:rPr>
          <w:b/>
        </w:rPr>
        <w:t>E. 2</w:t>
      </w:r>
    </w:p>
    <w:p>
      <w:r>
        <w:t>septembre 2015, de sorte que le délai de dénonciation n'a en ce sens pas été respecté. H______ a déclaré avoir avisé l'intimée des défauts lors de la séance du 29 avril 2013, ce que cette dernière conteste. Contrairement à ce que l'appelante soutient, le document établi par R______ le 8 mai 2013 ne permet pas de déduire qu'un avis des défauts aurait été valablement donné à l'intimée au cours de la séance, les éléments inscrits décrivant les prestations à effectuer par l'ingénieur, sans que l'on</w:t>
      </w:r>
    </w:p>
    <w:p>
      <w:r>
        <w:t>- 27/29 -</w:t>
      </w:r>
    </w:p>
    <w:p>
      <w:r>
        <w:t>C/5745/2017 puisse discerner dans ce document ce qui avait été effectivement dit le 29 avril 2013. En tout état, l'appelante échoue à démontrer le contenu de cet avis, soit en particulier le fait de s'être plainte du défaut, de l'avoir détaillé, et d'avoir indiqué à l'intimée qu'elle la considérait comme responsable. S'agissant des travaux complémentaires, les déclarations des parties sont contradictoires, de sorte que le fait que ces travaux n'ont pas été payés ne saurait constituer un avis des défauts, étant précisé qu'il n'existe pas d'écrit à ce sujet et que l'intimée conteste avoir été avisée du défaut dans le délai de garantie. La garantie pour les défauts est par conséquent également exclue faute d'avis des défauts dans le délai prévu par l'art. 172 SIA 118. 5.2.3 Pour ce qui est du devoir du maître d'ouvrage de demander la réfection du défaut par l'entrepreneur, l'appelante n'a pas démontré que l'intimée serait manifestement incapable de réparer ledit défaut et de poser du V______. H______ a admis ne pas le lui avoir demandé car il ne la pensait pas capable de procéder elle-même aux travaux de réfection utiles. Or, le témoin W______ a confirmé que N______ SAS était capable de poser du V______ prédécoupé en atelier et le faisait régulièrement. L'expertise de R______ SA préconisant le recours à un "bureau d'ingénieur compétent en structure acier, béton et bois" pour mettre en conformité cet ouvrage ne saurait être lue dans le sens que seul un bureau d'ingénieur pouvait s'en charger. Le recours à un tel spécialiste a été recommandé parce qu'il s'agissait du meilleur moyen de concevoir un projet de correction de la surélévation de l'immeuble conforme aux exigences du DALE. Cela n'excluait toutefois pas que les travaux de correction envisagés par S______ SARL puissent être exécutés par l'intimée et que celle-ci en soit capable. Les arguments avancés par l'appelante ne permettent ainsi pas de conclure que l'entrepreneur était manifestement incapable d'éliminer le défaut, celle-ci se devant ainsi d'exiger du précité qu'il procède dans un délai convenable à son élimination. Pour cette raison également, les conditions de la garantie des défauts invoquée par l'appelante n'étaient pas réunies. 5.2.4 Il résulte de ce qui précède que l'appelante n'est pas au bénéfice de la garantie pour les défauts à l'encontre de l'intimée et doit être déboutée de ses conclusions en paiement en tant qu'elles sont fondées sur cette cause. L'appelante s'étant prévalue de cette garantie, elle ne saurait disposer d'autres prétentions alternatives fondées sur la responsabilité contractuelle générale ou pour violation du devoir de diligence, contrairement à ce qu'a retenu le premier</w:t>
      </w:r>
    </w:p>
    <w:p>
      <w:r>
        <w:t>- 28/29 -</w:t>
      </w:r>
    </w:p>
    <w:p>
      <w:r>
        <w:t>C/5745/2017 juge. Elle doit donc également être déboutée de ses conclusions en paiement en tant qu'elles se fonderaient sur cette cause. La question des dommages et intérêts supplémentaires de l'art. 171 al. 1 SIA 118 aurait été envisageable si l'entrepreneur était ré-intervenu en vue de corriger l'ouvrage et qu'il aurait subsisté un dommage supplémentaire, ce qui n'est toutefois pas le cas en l'espèce. Par substitution de motifs, le jugement entrepris sera ainsi confirmé.</w:t>
      </w:r>
    </w:p>
    <w:p>
      <w:r>
        <w:rPr>
          <w:b/>
        </w:rPr>
        <w:t>E. 6</w:t>
      </w:r>
    </w:p>
    <w:p>
      <w:r>
        <w:t>Les frais judiciaires d'appel seront arrêtés à 20'000 fr. (art. 17 et 35 RTFMC) et mis à la charge de l'appelante, qui succombe (art. 106 al. 1 CPC). Ils seront compensés avec l'avance fournie par cette dernière, laquelle demeure acquise à l'Etat (art. 111 al. 1 CPC).</w:t>
      </w:r>
    </w:p>
    <w:p>
      <w:r>
        <w:t>Vu l'issue du litige, l'appelante sera, en outre, condamnée aux dépens d'appel de sa partie adverse, arrêtés à 17'200 fr., débours et TVA inclus (art. 84, 85 et 90 RTFMC; art. 25 et 26 LaCC). * * * * *</w:t>
      </w:r>
    </w:p>
    <w:p>
      <w:r>
        <w:t>- 29/29 -</w:t>
      </w:r>
    </w:p>
    <w:p>
      <w:r>
        <w:t>C/5745/2017 PAR CES MOTIFS, La Chambre civile : A la forme : Déclare recevable l'appel interjeté le 19 mai 2021 par A______ contre le jugement JTPI/4869/2021 rendu le 15 avril 2021 par le Tribunal de première instance dans la cause C/5745/2017. Au fond : Confirme le jugement entrepris. Déboute les parties de toutes autres conclusions. Sur les frais : Arrête les frais judiciaires d'appel à 20'000 fr., les met à la charge de A______ et les compense avec l'avance fournie, qui reste acquise à l'Etat de Genève. Condamne A______ à verser 17'200 fr. à B______ SA à titre de dépens d'appel. Siégeant : Madame Ursula ZEHETBAUER GHAVAMI, présidente; Madame Nathalie RAPP,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