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ACJC/1654/2022 vom 21. Dezember 2022</w:t>
      </w:r>
    </w:p>
    <w:p>
      <w:r>
        <w:t>GE Cour de justice, 2022-12-21, FR</w:t>
      </w:r>
    </w:p>
    <w:p>
      <w:r>
        <w:rPr>
          <w:b/>
        </w:rPr>
        <w:t xml:space="preserve">Quelle: </w:t>
      </w:r>
      <w:r>
        <w:t>https://mcp.opencaselaw.ch/entscheid/ge_gerichte_ACJC_1654_2022</w:t>
      </w:r>
    </w:p>
    <w:p>
      <w:r>
        <w:t>FR: GE_GERICHTE ACJC/1654/2022 du 21 décembre 2022</w:t>
      </w:r>
    </w:p>
    <w:p>
      <w:r>
        <w:t>IT: GE_GERICHTE ACJC/1654/2022 del 21 dicembre 2022</w:t>
      </w:r>
    </w:p>
    <w:p>
      <w:pPr>
        <w:pStyle w:val="Heading2"/>
      </w:pPr>
      <w:r>
        <w:t>Erwägungen</w:t>
      </w:r>
    </w:p>
    <w:p>
      <w:r>
        <w:rPr>
          <w:b/>
        </w:rPr>
        <w:t>E. 1.1</w:t>
      </w:r>
    </w:p>
    <w:p>
      <w:r>
        <w:t>La décision d'avis aux débiteurs des art. 132 al. 1, 177 ou 291 CC constitue une mesure d'exécution privilégiée sui generis,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 Cette décision n'émanant pas du tribunal de l'exécution, mais du juge civil, la voie de l'appel est ouverte (art. 308 al. 1 et 309 al. 1 CPC a contrario).</w:t>
      </w:r>
    </w:p>
    <w:p>
      <w:r>
        <w:rPr>
          <w:b/>
        </w:rPr>
        <w:t>E. 1.2</w:t>
      </w:r>
    </w:p>
    <w:p>
      <w:r>
        <w:t>Interjeté dans le délai utile de dix jours (art. 302 al. 1 let. c et 314 al. 1 CPC) et suivant la forme prescrite par la loi (art. 130, 131 et 311 al. 1 CPC), dans le cadre d'une affaire patrimoniale dont la valeur litigieuse au dernier état des conclusions de première instance est supérieure à 10'000 fr. (art. 92 al. 1 et 2 et 308 al. 2 CPC), l'appel est recevable.</w:t>
      </w:r>
    </w:p>
    <w:p>
      <w:r>
        <w:rPr>
          <w:b/>
        </w:rPr>
        <w:t>E. 1.3</w:t>
      </w:r>
    </w:p>
    <w:p>
      <w:r>
        <w:t>Si la décision a été rendue en procédure sommaire, le délai pour le dépôt de la réponse est de dix jours (art. 312 al. 2 et 314 al. 1 CPC). A défaut de réponse déposée dans le délai imparti, la procédure d'appel suit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pas susceptible d'être prolongé (art. 312 al. 2 et 314 al. 1 CPC, en lien avec l'art. 144 al. 1 CPC; ATF 144 III 394 consid. 4.1.1 résumé in CPC Online, art. 312; 141 III 554 consid. 2; arrêt du Tribunal fédéral 5A_37/2017 du 10 juillet 2017 consid. 3.1.2 et les références). En l'espèce, l'intimé n'a pas répondu à l'appel dans le délai imparti pour ce faire. Conformément à ce qui précède, la loi n'impose pas de lui octroyer un délai supplémentaire pour déposer son écriture. La cause étant en état d'être jugée, la Cour est au surplus habilitée à statuer sur la présente affaire sans procéder à davantage d'investigations, étant rappelé qu'aucune mesure d'instruction n'a en l'espèce été sollicitée et que la procédure d'appel est en principe conduite sur pièces, sans audience ni administration de preuves (art. 316 CPC; ATF 144 III 394 précité consid. 4.1.3; arrêt du Tribunal fédéral 5A_37/2017 précité, ibidem).</w:t>
      </w:r>
    </w:p>
    <w:p>
      <w:r>
        <w:rPr>
          <w:b/>
        </w:rPr>
        <w:t>E. 2.1</w:t>
      </w:r>
    </w:p>
    <w:p>
      <w:r>
        <w:t>La Cour revoit le fond du litige avec un plein pouvoir d'examen en fait et en droit (art. 310 CPC) et applique le droit d'office (art. 57 CPC). Conformément à</w:t>
      </w:r>
    </w:p>
    <w:p>
      <w:r>
        <w:t>- 8/17 -</w:t>
      </w:r>
    </w:p>
    <w:p>
      <w:r>
        <w:t>C/4643/2022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2.2</w:t>
      </w:r>
    </w:p>
    <w:p>
      <w:r>
        <w:t>La mesure d'avis aux débiteurs étant soumise à la procédure sommaire, la cognition du juge est limitée à la simple vraisemblance des faits et à un examen sommaire du droit, l'exigence de célérité étant privilégiée par rapport à celle de sécurité (ATF 127 III 474 consid. 2b/bb, JdT 2002 I 352; arrêt du Tribunal fédéral 5A_823/2014 du 3 février 2015 consid. 2.2).</w:t>
      </w:r>
    </w:p>
    <w:p>
      <w:r>
        <w:rPr>
          <w:b/>
        </w:rPr>
        <w:t>E. 3</w:t>
      </w:r>
    </w:p>
    <w:p>
      <w:r>
        <w:t>L'appelant a allégué des faits nouveaux et produit des pièces nouvelles. Il a également modifié ses conclusions en appel. 3.1.1 La Cour examine d'office la recevabilité des faits et moyens de preuve nouveaux ainsi que des conclusions nouvelles en appel (REETZ/HILBER, Kommentar zur Schweizerischen Zivilprozessordnung, 3ème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3.1.2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3.2</w:t>
      </w:r>
    </w:p>
    <w:p>
      <w:r>
        <w:t>En l'espèce, la pièce 15 produite par l'appelant devant la Cour constitue une actualisation du relevé de compte déjà versé à la procédure devant le Tribunal. Elle est dès lors recevable – de même que les faits qui s'y rapportent (cf. En fait,</w:t>
      </w:r>
    </w:p>
    <w:p>
      <w:r>
        <w:t>- 9/17 -</w:t>
      </w:r>
    </w:p>
    <w:p>
      <w:r>
        <w:t>C/4643/2022 let. E) – à tout le moins pour la période postérieure à la date à laquelle le Tribunal a gardé la cause à juger. L'allégué nouveau, selon lequel l'intimé avait déjà été en défaut de paiement lorsque C______ était mineur et qu'il l'était également lorsque ce dernier avait mandaté l'appelant au mois de février 2021, est en revanche irrecevable. Bien que la loi prévoie que le SCARPA aide tout créancier d'une pension alimentaire à obtenir l'exécution des prestations dues (cf. art. 2 al. 1 LARPA; RS/GE E 1 25), les défauts de paiement de l'intimé allégués par l'appelant ne sauraient être considérés comme inclus de manière implicite dans l'allégué selon lequel l'appelant et l'enfant majeur avaient signé une convention tendant à l'encaissement des pensions dues. A cela s'ajoute que le relevé de compte produit par l'appelant mentionne que l'intimé était à jour dans le paiement des contributions d'entretien au 1er mars 2021. Le prétendu retard de paiement allégué devant la Cour n'est dès lors, en tout état de cause, pas démontré. La recevabilité des pièces 16 et 17 – à savoir la copie du commandement de payer, poursuite no 1______, notifié à l'intimé le 16 mai 2022, soit avant la clôture des débats de première instance, et le courrier adressé par l'appelant à l'Office des poursuites le 11 juillet 2022 afin de donner contrordre à la poursuite no 1______ requise à l'encontre de l'intimé – peut en revanche souffrir de rester indécise. Ces pièces ne sont en effet pas décisives pour l'issue de la cause. Peut également souffrir de rester indécise la recevabilité de la pièce 14, à savoir la confirmation de changement de sexe de C______, désormais prénommé C______, inscrite le 9 mai 2022 dans les registres de l'état civil, soit avant la clôture des débats de première instance, ainsi que celle de la modification des conclusions découlant de ce changement. L'appel devant être rejeté sur le fond, cette question est en effet dénuée de conséquence sur le sort du litige.</w:t>
      </w:r>
    </w:p>
    <w:p>
      <w:r>
        <w:rPr>
          <w:b/>
        </w:rPr>
        <w:t>E. 4</w:t>
      </w:r>
    </w:p>
    <w:p>
      <w:r>
        <w:t>L'appelant reproche en premier lieu au Tribunal de lui avoir dénié la légitimation active pour requérir l'avis au débiteur au motif qu'il n'avait pas avancé de pensions alimentaires à C______. Il conteste qu'une telle condition ressorte de la jurisprudence et fait valoir que cette mesure fait partie de l'aide au recouvrement que doivent apporter les cantons aux personnes créancières d'aliments, indépendamment des avances. 4.1.1 Conformément à l'art. 289 al. 1 CC, les contributions d'entretien sont dues à l'enfant et sont versées durant sa minorité à son représentant légal ou au parent qui en assume la garde. La prétention à la contribution d'entretien passe avec tous les droits qui lui sont rattachés à la collectivité publique lorsque celle-ci assume l'entretien de l'enfant (art. 289 al. 2 CC).</w:t>
      </w:r>
    </w:p>
    <w:p>
      <w:r>
        <w:t>- 10/17 -</w:t>
      </w:r>
    </w:p>
    <w:p>
      <w:r>
        <w:t>C/4643/2022 Lorsque les père et mère négligent de prendre soin de l'enfant, le juge peut prescrire à leurs débiteurs d'opérer tout ou partie de leurs paiements entre les mains du représentant légal de l'enfant (art. 291 CC). 4.1.2 Lorsque le père ou la mère néglige son obligation d'entretien, un office spécialisé désigné par le droit cantonal aide de manière adéquate et gratuitement l'enfant ou l'autre parent qui le demande à obtenir l'exécution des prestations d'entretien (art. 290 al. 1 CC). Le Conseil fédéral définit les prestations d'aide au recouvrement (art. 290 al. 2 CC). Le droit public cantonal règle en outre le versement d'avances pour l'entretien de l'enfant lorsque les père et mère ne satisfont pas à leur obligation d'entretien (art. 293 al. 2 CC). 4.1.3 A Genève, l'enfant créancier de contributions d'entretien peut mandater par convention le SCARPA afin qu'il lui fournisse une aide adéquate et gratuite en vue d'en obtenir le paiement par le débiteur (art. 2 al. 1 LARPA). Il peut également demander au SCARPA de faire des avances de la contribution (art. 5 al. 1 et art. 6 LARPA). Conformément à l'art. 10 al. 1 LARPA, l'Etat est subrogé à due concurrence des montants avancés en faveur des enfants, au sens de l'art. 289 al. 2 CC. L'art. 12 al. 1 let. j de l'ordonnance sur l'aide au recouvrement, entrée en vigueur le 1er janvier 2022 (OAir, RS 211.214.32), prévoit en outre que l'office spécialisé désigné par le droit cantonal pour prêter son aide au créancier d'aliments propose, au minimum, parmi ses prestations, l'adoption ("Einleitung") de mesures adéquates pour l'accomplissement de l'aide au recouvrement, notamment l'avis au débiteur prévu par l'art. 291 CC. 4.1.4 Jusqu'à récemment, le Tribunal fédéral avait considéré, dans plusieurs arrêts, que la collectivité publique qui avançait les contributions d'entretien pouvait elle- même requérir l'avis aux débiteurs pour des créances futures non encore exigibles. Conformément à l'art. 170 CO, la cession légale prévue par l'art. 289 al. 2 CC emportait en effet celle des droits accessoires liés à la créance d'entretien, dont faisait partie celui de requérir l'avis au débiteur (ATF 143 III 177 consid. 6.3.3; 142 III 195 consid. 5; 137 III 193 consid. 2 et 3). Dans deux arrêts publiés du 12 janvier 2022, le Tribunal fédéral a partiellement modifié sa jurisprudence en lien avec la légitimation active ou passive de la collectivité publique dans le cadre d'une action au fond en modification d'une contribution d'entretien et dans la procédure d'avis aux débiteurs. En substance, la collectivité publique ne dispose plus de la légitimation active ou passive qu'à hauteur des montants d'entretien avancés, mais plus au-delà (ATF 148 III 296; 148 III 270).</w:t>
      </w:r>
    </w:p>
    <w:p>
      <w:r>
        <w:t>- 11/17 -</w:t>
      </w:r>
    </w:p>
    <w:p>
      <w:r>
        <w:t>C/4643/2022 La jurisprudence nouvelle distingue en effet d'une part le procès en entretien, soit une contestation de nature civile opposant l'enfant créancier, cas échéant représenté par le parent gardien, et le parent débiteur, et d'autre part l'avance des contributions d'entretien et l'avis aux débiteurs, qui visent quant à eux à concrétiser le droit de l'enfant à cet entretien (ATF 148 III 270 précité consid. 6.2). Il y a lieu de distinguer par ailleurs la subrogation légale prévue à l'art. 289 al. 2 CC, qui ne s'étend qu'aux montants effectivement avancés par la collectivité publique mais pas aux prétentions futures, de la cession conventionnelle, par laquelle le cédant cède des créances futures pour autant qu'elles soient suffisamment déterminables, cession qui repose sur l'accord des parties et ne correspond pas à la cession légale prévue par l'art. 289 al. 2 CC (ATF 148 III 270 précité consid. 6.3). Les conséquences de cette évolution jurisprudentielle dépendent de l'action en cause. Dans l'action en fixation ou en modification de l'entretien, l'enfant dispose désormais seul de la légitimation passive (arrêts du Tribunal fédéral 5A_120/2021 du 11 février 2022 consid. 1.2; ATF 148 III 270 précité consid. 6.7 et les références; ATF 148 III 296 précité consid. 6). Dans le cadre de l'avis aux débiteurs, la collectivité publique assumant l'entretien de l'enfant reste subrogée – conformément à la jurisprudence publiée à l'ATF 137 III 193 et comme le législateur en avait clairement manifesté la volonté à l'occasion de la révision du droit de l'entretien de l'enfant entrée en vigueur le 1er juillet 2017 – dans le droit de l'enfant de solliciter cette mesure d'exécution forcée, mais à condition qu'elle continue à verser des avances d'aliments dans le futur. Ce droit passe en effet à la collectivité publique en tant que droit accessoire (Nebenrecht) des pensions qu'elle a avancées (ATF 148 III 270 précité consid. 6.6; ACJC/433/2022 du 29 mars 2022 consid. 4.1.4). Se fondant sur cette nouvelle jurisprudence, la Cour a considéré ce qui suit dans un arrêt du 12 octobre 2022 portant sur un cas similaire à celui de l'espèce : le SCARPA n'ayant procédé à aucune avance de contributions d'entretien en faveur de la mineure, il ne bénéficiait pas de la subrogation prévue à l'art. 289 al. 2 CC et ne pouvait se prévaloir, sur cette base, du droit de l'enfant de requérir un avis aux débiteurs. Il était en revanche au bénéfice d'une cession globale accordée par la mère de l'enfant et portant sur les créances futures de cette dernière. Cette cession conventionnelle, reconnue comme valable par le Tribunal fédéral, ne le plaçait pas dans une situation différente de celle d'une collectivité publique bénéficiant de la subrogation légale en raison de l'octroi d'avances de contributions d'entretien. Dite cession incluait en outre expressément l'ensemble des droits accessoires liés aux créances cédées (cf. art. 170 CO), dont faisait partie l'avis aux débiteurs. Elle autorisait dès lors le SCARPA à requérir, dans le cadre de son mandat d'encaissement, l'avis aux débiteurs en son nom et pour le compte de l'enfant, nonobstant l'absence d'avances effectives (ACJC/1388/2022 du 12 octobre 2022 consid. 4.2).</w:t>
      </w:r>
    </w:p>
    <w:p>
      <w:r>
        <w:t>- 12/17 -</w:t>
      </w:r>
    </w:p>
    <w:p>
      <w:r>
        <w:t>C/4643/2022</w:t>
      </w:r>
    </w:p>
    <w:p>
      <w:r>
        <w:rPr>
          <w:b/>
        </w:rPr>
        <w:t>E. 4.2</w:t>
      </w:r>
    </w:p>
    <w:p>
      <w:r>
        <w:t>En l'espèce, il est admis qu'après son accession à la majorité, C______ a signé le 5 février 2021 une convention avec l'appelant, mandatant celui-ci pour procéder à toutes démarches nécessaires à l'encaissement de la pension alimentaire dont il était créancier à partir de l'entrée en vigueur de la convention. Il lui a cédé en conséquence la totalité de sa créance future avec tous les droits qui lui sont rattachés pour la durée du mandat. Il s'ensuit que l'appelant est, depuis l'entrée en vigueur de la convention survenue le 1er mars 2021, titulaire de la créance en entretien détenue par C______ à l'encontre de l'intimé, ainsi que des droits accessoires liés à celle-ci. Conformément à la jurisprudence susmentionnée, cette cession conventionnelle lui confère la légitimation active pour requérir le prononcé d'un avis aux débiteurs, indépendamment du fait qu'il ait avancé ou non des contributions d'entretien au cédant. Le fait que l'appelant puisse disposer de cette prérogative sur la base d'une telle cession, et nonobstant l'avance de contributions d'entretien, est du reste conforme à l'art. 12 al. 1 let. j OAir, lequel prévoit que l'avis aux débiteurs fait partie des prestations minimales d'aide au recouvrement que sont tenus d'offrir les offices spécialisés créés par les cantons (cf. supra consid. 4.1.2). La conclusion du premier juge selon laquelle l'appelant ne disposait pas, en l'espèce, de la légitimation active pour requérir un avis aux débiteurs est donc erronée.</w:t>
      </w:r>
    </w:p>
    <w:p>
      <w:r>
        <w:rPr>
          <w:b/>
        </w:rPr>
        <w:t>E. 4.3</w:t>
      </w:r>
    </w:p>
    <w:p>
      <w:r>
        <w:t>Reste à examiner si les conditions permettant de prononcer l'avis aux débiteurs sollicité par l'appelant sont réunies dans le cas d'espèce.</w:t>
      </w:r>
    </w:p>
    <w:p>
      <w:r>
        <w:rPr>
          <w:b/>
        </w:rPr>
        <w:t>E. 4.3.1</w:t>
      </w:r>
    </w:p>
    <w:p>
      <w:r>
        <w:t>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123 III 1 consid. 5; arrêts du Tribunal fédéral 5A_474/2015 du 29 septembre 2015 consid. 2.2 et 5A_958/2012 du 27 juillet 2013 consid. 2.3.2.1).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tels que les déclarations d'une partie en justice ou son désintérêt de la procédure; le juge dispose d'un large pouvoir d'appréciation (arrêts du Tribunal fédéral 5A_173/2014 et 5A_174/2014 du 6 juin 2014 consid. 9.3; 5A_464/2012 du 30 novembre 2012 consid. 5.3).</w:t>
      </w:r>
    </w:p>
    <w:p>
      <w:r>
        <w:t>- 13/17 -</w:t>
      </w:r>
    </w:p>
    <w:p>
      <w:r>
        <w:t>C/4643/2022 L'article 291 CC est une disposition discrétionnaire. Toutes les circonstances pertinentes doivent être prises en compte. Bien que cela ne justifie pas de lui refuser l'action de l'article 291 CC, le fait que la communauté des subrogateurs ne soit pas existentiellement dépendante de cette option de recouvrement peut être pris en compte dans ce contexte (ATF 137 III 193 consid. 3.4). Pour fixer le montant saisissable, l'Office doit tenir compte des dépenses nécessaires à l'entretien du débiteur et de sa famille, en s'appuyant pour cela sur les directives de la Conférence des préposés aux poursuites et faillites de Suisse, respectivement, à Genève, sur les Normes d'insaisissabilité édictées chaque année par l'autorité de surveillance (ci-après : NI;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notamment, des contributions d'entretien dues en vertu de la loi (art. II.5 NI), pour autant qu'elles soient effectivement payées (OCHSNER, in Commentaire Romand, Poursuite et faillite, 2005, n° 82 ad art. 93 LP). Ces contributions priment les droits des créanciers saisissants de sorte que leur paiement effectif doit, cas échéant, être incorporé au minimum vital du débiteur et réduire d'autant la quotité disponible en faveur des créanciers saisissants (ACJC/773/2022 du 24 mai 2022 consid. 3.2).</w:t>
      </w:r>
    </w:p>
    <w:p>
      <w:r>
        <w:rPr>
          <w:b/>
        </w:rPr>
        <w:t>E. 4.3.2</w:t>
      </w:r>
    </w:p>
    <w:p>
      <w:r>
        <w:t>En l'espèce, le Tribunal a retenu, dans le jugement entrepris, que l'appelant – dont la qualité de créancier a été reconnue supra – était au bénéfice d'un titre exécutoire, à savoir la décision du Tribunal tutélaire du 15 novembre 2022, et ce même si les pièces produites n'attestaient pas du fait que C______ fût encore inscrit en qualité d'apprenti au jour du jugement. La réalisation de cette condition n'est pas discutée devant la Cour, de sorte qu'il n'y a pas lieu de l'examiner plus avant. Est en revanche litigieuse la question de savoir si les circonstances du cas d'espèce justifient ou non le prononcé d'un avis aux débiteurs. En l'occurrence, il résulte du jugement entrepris que l'intimé a fait l'objet de saisies de salaire ininterrompues depuis le mois d'avril 2021, dans le cadre desquelles son minimum vital a été arrêté, selon le procès-verbal de saisie du 27 avril 2021, à 3'610 fr., correspondant à l'addition de ses charges incompressibles (2'910 fr.) et de la pension alimentaire due à son fils (700 fr.). Malgré cette saisie, l'intimé s'est acquitté régulièrement des pensions courantes jusqu'au mois de novembre 2021. Il a ensuite interrompu ses paiements au mois de décembre 2021, alors que la somme mensuellement due à son fils était encore laissée à sa disposition. L'appelant a alors informé l'Office des poursuites, à une date non précisée, que la contribution d'entretien n'était plus payée, ce qui a conduit l'Office à abaisser le minimum vital de l'intimé à 2'910 fr. et à augmenter</w:t>
      </w:r>
    </w:p>
    <w:p>
      <w:r>
        <w:t>- 14/17 -</w:t>
      </w:r>
    </w:p>
    <w:p>
      <w:r>
        <w:t>C/4643/2022 la saisie à due concurrence. L'appelant ne paraît dès lors guère fondé à faire grief à l'intimé d'avoir cessé de s'acquitter des sommes dues, en tout cas s'agissant de la période postérieure à son intervention. Comme l'a relevé le Tribunal, il ne saurait non plus être reproché à l'intimé de ne pas avoir prélevé la contribution sur sa base mensuelle d'entretien afin de se prévaloir vis-à-vis de l'Office de la réalité d'un tel paiement et d'obtenir un nouveau calcul de son minimum vital. Les autres circonstances du cas d'espèce ne permettent pas davantage de retenir une absence caractérisée de volonté de l'intimé de verser les contributions d'entretien dues à son fils. Il résulte en effet du jugement entrepris que l'intéressé s'est acquitté régulièrement de la pension d'avril à novembre 2021, alors qu'une partie de son salaire était saisie. Il a ensuite interrompu ses versements, de sorte que l'Office a saisi un montant supplémentaire de 700 fr. sur son salaire. En l'absence d'indication de l'appelant sur ce point, l'on ignore toutefois quel arriéré l'intimé avait accumulé à ce moment-là. Or, à supposer que l'appelant soit intervenu auprès de l'Office au mois de janvier 2021, une interruption des paiements d'un à deux mois ne permet pas de retenir une volonté caractérisée de l'intimé de ne pas s'exécuter, ou de ne le faire que de manière irrégulière. Par la suite, le précité s'est trouvé privé – sans sa faute comme expliqué supra – des moyens de verser les montants dus. L'intimé a ensuite recommencé à s'acquitter de la contribution d'entretien courante au mois de juillet 2022. Bien que cette reprise des paiements soit vraisemblablement liée à l'intervention de l'appelant en vue de recouvrer les montants en souffrance (ce que ce dernier ne prend toutefois pas la peine d'alléguer), elle ne saurait être ignorée pour évaluer les intentions de l'intimé de se conformer à ses obligations. A cela s'ajoute que l'appelant a pu recouvrer, au mois de juillet 2022, quatre mois de contributions impayées dans le cadre d'une poursuite diligentée à l'encontre de l'intimé, de sorte que l'arriéré de pensions accumulé entre décembre 2021 et mars 2022 n'a pas augmenté. Au vu de ce qui précède, l'attitude adoptée par l'intimé depuis le mois d'avril 2021, considérée dans son ensemble, ne permet pas de retenir de manière univoque que celui-ci persistera, à l'avenir, à se soustraire à ses obligations d'entretien. Il sied à cet égard de rappeler que le juge peut se montrer plus strict s'agissant de la réalisation de la condition susmentionnée lorsque la requête émane de la collectivité publique subrogée dans les droits du créancier d'aliments. Le jugement entrepris sera dès lors confirmé en tant qu'il retient que les conditions de prononcé d'un avis aux débiteurs ne sont pas réunies dans le cas d'espèce.</w:t>
      </w:r>
    </w:p>
    <w:p>
      <w:r>
        <w:rPr>
          <w:b/>
        </w:rPr>
        <w:t>E. 5</w:t>
      </w:r>
    </w:p>
    <w:p>
      <w:r>
        <w:t>Les frais judiciaires d'appel seront mis à la charge de l'appelant, qui succombe (art. 106 al. 1 CPC). Ils seront fixés à 1'000 fr. (art. 31 et 35 RTFMC) et</w:t>
      </w:r>
    </w:p>
    <w:p>
      <w:r>
        <w:t>- 15/17 -</w:t>
      </w:r>
    </w:p>
    <w:p>
      <w:r>
        <w:t>C/4643/2022 compensés avec l'avance de frais du même montant versée par le précité, qui reste acquise à l'Etat de Genève (art. 111 al. 1 CPC).</w:t>
      </w:r>
    </w:p>
    <w:p>
      <w:r>
        <w:t>L'intimé comparaissant en personne et n'ayant pas pris part à la procédure d'appel, il ne sera pas alloué de dépens (art. 95 al. 3 CPC, 84 RTFMC). * * * * *</w:t>
      </w:r>
    </w:p>
    <w:p>
      <w:r>
        <w:t>- 16/17 -</w:t>
      </w:r>
    </w:p>
    <w:p>
      <w:r>
        <w:t>C/4643/2022 PAR CES MOTIFS, La Chambre civile :</w:t>
      </w:r>
    </w:p>
    <w:p>
      <w:r>
        <w:t>A la forme : Déclare recevable l'appel interjeté le 7 septembre 2022 par L'ETAT DE GENEVE, DEPARTEMENT DE LA COHESION SOCIALE, SOIT POUR LUI LE SERVICE CANTONAL D'AVANCE ET DE RECOUVREMENT DES PENSIONS ALIMENTAIRES (SCARPA) contre le jugement JTPI/9799/2022 rendu le 24 août 2022 par le Tribunal de première instance dans la cause C/4643/2022. Au fond : Le rejette. Déboute les parties de toutes autres conclusions. Sur les frais : Arrête les frais judiciaires à 1'000 fr., les met à la charge de L'ETAT DE GENEVE, DEPARTEMENT DE LA COHESION SOCIALE, SOIT POUR LUI LE SERVICE CANTONAL D'AVANCE ET DE RECOUVREMENT DES PENSIONS ALIMENTAIRES (SCARPA) et dit qu'ils sont compensés avec l'avance fournie, qui reste acquise à l'Etat de Genève, soit pour lui les Services financiers du Pouvoir judiciaire. Dit qu'il n'est pas alloué de dépens. Siégeant : Monsieur Laurent RIEBEN, président; Monsieur Patrick CHENAUX, Madame Fabienne GEISINGER-MARIETHOZ, juges; Madame Sophie MARTINEZ, greffière.</w:t>
      </w:r>
    </w:p>
    <w:p>
      <w:r>
        <w:t>- 17/17 -</w:t>
      </w:r>
    </w:p>
    <w:p>
      <w:r>
        <w:t>C/4643/2022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