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ACJC/1654/2020 vom 3. Dezember 2020</w:t>
      </w:r>
    </w:p>
    <w:p>
      <w:r>
        <w:t>GE Cour de justice, 2020-12-03, FR</w:t>
      </w:r>
    </w:p>
    <w:p>
      <w:r>
        <w:rPr>
          <w:b/>
        </w:rPr>
        <w:t xml:space="preserve">Quelle: </w:t>
      </w:r>
      <w:r>
        <w:t>https://mcp.opencaselaw.ch/entscheid/ge_gerichte_ACJC_1654_2020</w:t>
      </w:r>
    </w:p>
    <w:p>
      <w:r>
        <w:t>FR: GE_GERICHTE ACJC/1654/2020 du 3 décembre 2020</w:t>
      </w:r>
    </w:p>
    <w:p>
      <w:r>
        <w:t>IT: GE_GERICHTE ACJC/1654/2020 del 3 dicembre 2020</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prescrit par la loi (art. 311 al. 1 CPC), l'appel est recevable sous cet angle.</w:t>
      </w:r>
    </w:p>
    <w:p>
      <w:r>
        <w:t>- 10/21 -</w:t>
      </w:r>
    </w:p>
    <w:p>
      <w:r>
        <w:t>C/10305/2015</w:t>
      </w:r>
    </w:p>
    <w:p>
      <w:r>
        <w:rPr>
          <w:b/>
        </w:rPr>
        <w:t>E. 1.2</w:t>
      </w:r>
    </w:p>
    <w:p>
      <w:r>
        <w:t>Le mineur B______ sera ci-après désigné comme l'intimé, C______ comme l'intimé n. 1, D______ comme l'intimée n. 2 et E______ comme l'intimée n. 3.</w:t>
      </w:r>
    </w:p>
    <w:p>
      <w:r>
        <w:rPr>
          <w:b/>
        </w:rPr>
        <w:t>E. 1.3</w:t>
      </w:r>
    </w:p>
    <w:p>
      <w:r>
        <w:t>L'intimé soutient que l'appel est irrecevable, motifs pris de l'irrecevabilité de la conclusion nouvellement prise en constatation par l'appelant de ce qu'il a la qualité d'héritier pour une proportion d'un tiers de la succession et de l'absence d'intérêt digne de protection à agir.</w:t>
      </w:r>
    </w:p>
    <w:p>
      <w:r>
        <w:rPr>
          <w:b/>
        </w:rPr>
        <w:t>E. 1.3.1</w:t>
      </w:r>
    </w:p>
    <w:p>
      <w:r>
        <w:t>Le tribunal examine d'office si les conditions de recevabilité sont remplies (art. 60 CPC). Ces conditions sont notamment réunies lorsque le recourant dispose d'un intérêt digne de protection à former recours (art. 59 al. 2 let. a CPC), soit un intérêt personnel et actuel à voir le juge statuer sur ses conclusions (arrêts du Tribunal fédéral 5A_2/2019 du 1er juillet 2019 consid. 3.2; 4A_122/2019 du 10 avril 2019 consid. 2.2 et les références). Comme toute condition de recevabilité, cet intérêt doit exister non seulement lors de la litispendance, mais également au moment du jugement (arrêt du Tribunal fédéral 5A_2/2019 précité consid. 3.2 et les références). Lorsqu'une demande en justice ne répond pas à un intérêt digne de protection de son auteur, elle est ainsi irrecevable (ATF 140 III 159 consid. 4.2.4).</w:t>
      </w:r>
    </w:p>
    <w:p>
      <w:r>
        <w:rPr>
          <w:b/>
        </w:rPr>
        <w:t>E. 1.3.2</w:t>
      </w:r>
    </w:p>
    <w:p>
      <w:r>
        <w:t>Vu que l’exhérédé n’est plus héritier réservataire, il ne peut pas faire valoir directement sa réserve en ouvrant une action en réduction (art. 478 al. 1 in fine CC). Il lui reste toutefois la possibilité de contester l’exhérédation elle-même. Il peut soit mettre en cause la validité de la disposition pour cause de mort ordonnant l’exhérédation en ouvrant une action en nullité (art. 519 ss CC), soit attaquer la cause de l’exhérédation par une action (analogue à l’action) en réduction. Dans le premier cas, l’exhérédé retrouve sa part légale ; dans le second, il ne retrouve que sa réserve (STEINAUER, Commentaire Romand, Code civil II, n. 4 ad art. 478 CC). Selon l'art. 519 al. 1 CC, les dispositions pour cause de mort peuvent être annulées lorsqu’elles sont faites par une personne incapable de disposer au moment de l’acte, lorsqu’elles ne sont pas l’expression d’une volonté libre ou lorsqu’elles sont illicites ou contraires aux mœurs, soit par elles-mêmes, soit par les conditions dont elles sont grevées. L’action peut être intentée par tout héritier ou légataire intéressé (art. 519 al. 2 CC). Le législateur fédéral a consacré le principe d’une action formatrice en annulation de la disposition à cause de mort viciée, que ce soit pour des questions de volonté ou de contenu (art. 519 CC) ou encore de forme (art. 520 CC) (PIOTET, Commentaire Romand, Code civil II, n. 1 ad art. 519 CC).</w:t>
      </w:r>
    </w:p>
    <w:p>
      <w:r>
        <w:t>- 11/21 -</w:t>
      </w:r>
    </w:p>
    <w:p>
      <w:r>
        <w:t>C/10305/2015 Dans le cadre spécifique de l'action en nullité du testament (art. 519 CC), la jurisprudence et la doctrine unanime ont admis que l'intérêt matériel à la déclaration de nullité se mesure aux effets que produira le jugement, notamment en faveur de quelles personnes il créera un droit (PIOTET, Droit successoral, Traité de droit privé suisse IV, 1975, p. 253; ABT/TARNUTZER-MÜNCH, Erbrecht, 2007, n. 65 s. ad art. 519 CC). L'intérêt à interjeter recours suppose que l'admission de l'action en nullité des dispositions à cause de mort soit susceptible de procurer un avantage au recourant (ATF 81 II 33 consid. 2; FORNI/PIATTI, Basler Kommentar, 3e éd., 2007, n. 28 ad art. 519/520 CC). Autrement dit, l'action en nullité doit être dirigée contre les personnes qui tirent des dispositions testamentaires des avantages de nature successorale au détriment du demandeur (ATF 96 II 79 consid. 9b p. 99 s. avec les références; arrêt du Tribunal fédéral 5A_89/2011 du 1er septembre 2011 consid. 2.1.1).</w:t>
      </w:r>
    </w:p>
    <w:p>
      <w:r>
        <w:rPr>
          <w:b/>
        </w:rPr>
        <w:t>E. 1.3.3</w:t>
      </w:r>
    </w:p>
    <w:p>
      <w:r>
        <w:t>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au sens de ces dispositions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w:t>
      </w:r>
    </w:p>
    <w:p>
      <w:r>
        <w:rPr>
          <w:b/>
        </w:rPr>
        <w:t>E. 1.3.4</w:t>
      </w:r>
    </w:p>
    <w:p>
      <w:r>
        <w:t>L'objet du litige et la nature de l'action introduite sont déterminés par les conclusions de la demande et les faits invoqués à l'appui de celle-ci (ATF 130 III 547 consid. 2.1; 117 II 26 consid. 2a et les références citées). Les conclusions prises doivent exprimer clairement la prétention réclamée et la nature de l'action. En cas d'incertitude, le juge procède à l'interprétation objective des conclusions ; il lui incombe de les interpréter selon les règles de la bonne foi (ATF 105 II 149 consid. 2a; arrêt du Tribunal fédéral 5A_408/2016 du 21 juillet 2017 consid. 4.2).</w:t>
      </w:r>
    </w:p>
    <w:p>
      <w:r>
        <w:rPr>
          <w:b/>
        </w:rPr>
        <w:t>E. 1.3.5</w:t>
      </w:r>
    </w:p>
    <w:p>
      <w:r>
        <w:t>Dans le présent cas, l'appelant a saisi le Tribunal d'une action en annulation d'un testament et subsidiairement en réduction. Contrairement à ce que soutient</w:t>
      </w:r>
    </w:p>
    <w:p>
      <w:r>
        <w:t>- 12/21 -</w:t>
      </w:r>
    </w:p>
    <w:p>
      <w:r>
        <w:t>C/10305/2015 péremptoirement l'intimé, cette action ne constitue pas une action en constatation de droit, mais une action analogue à celle en réduction. L'appelant a en effet conclu à l'annulation de la clause d'exhérédation prévue à l'art. 2 page 2 du testament du 8 mai 2008 et à ce qu'il soit dit qu'il a la qualité d'héritier de feu son père pour une proportion d'un tiers de la succession. Ainsi, l'objet principal du litige concerne la validité de la clause d'exhérédation, et non la constatation de la qualité d'héritier. Par conséquent, il s'agit d'une action formatrice. Les griefs de l'intimé tombent ainsi à faux.</w:t>
      </w:r>
    </w:p>
    <w:p>
      <w:r>
        <w:rPr>
          <w:b/>
        </w:rPr>
        <w:t>E. 1.3.6</w:t>
      </w:r>
    </w:p>
    <w:p>
      <w:r>
        <w:t>L'intimé soutient que l'appelant a formulé une conclusion nouvelle dans son acte d'appel.</w:t>
      </w:r>
    </w:p>
    <w:p>
      <w:r>
        <w:rPr>
          <w:b/>
        </w:rPr>
        <w:t>E. 1.3.7</w:t>
      </w:r>
    </w:p>
    <w:p>
      <w:r>
        <w:t>Selon l'art. 317 al. 2 CPC, la demande ne peut être modifiée que si les conditions fixées à l'art. 227 al. 1 CPC sont remplies (let. a) et la modification repose sur des faits ou des moyens de preuve nouveaux (let. b). Ces derniers doivent être eux-mêmes recevables en appel en application de l'art. 317 al. 1 CPC (JEANDIN, in Commentaire romand, Code de procédure civile, 2ème éd., 2019, n. 12 ad art. 317 CPC et les réf. citées). La Cour examine d'office la recevabilité des conclusions modifiées, ainsi que celle des faits et moyens de preuve nouveaux produits en appel (art. 60 CPC; ATF 142 III 48; REETZ/HILBER, Kommentar zur Schweizerischen Zivilprozessordnung, 3ème éd. 2017, n. 26 ad art. 317 CPC). Selon la jurisprudence du Tribunal fédéral, la nouveauté d’une conclusion se rapporte à l’objet du litige, qui est déterminé par les conclusions prises et le complexe de faits sur lequel elles reposent, dans la mesure où celui-ci, c'est-à-dire le fondement en faits sur lequel reposent les conclusions, doit être pris en considération pour individualiser les conclusions (ATF 143 III 254 c. 3.1 et réf.; arrêts du Tribunal fédéral 4A_95/2020 du 17 avril 2020 consid. 2; 4A_15/2017 du</w:t>
      </w:r>
    </w:p>
    <w:p>
      <w:r>
        <w:rPr>
          <w:b/>
        </w:rPr>
        <w:t>E. 1.3.8</w:t>
      </w:r>
    </w:p>
    <w:p>
      <w:r>
        <w:t>En l'espèce, l'appelant a conclu, dans sa requête du 18 janvier 2016, à l'annulation de la clause d'exhérédation prévue à l'art. 2 page 2 du testament du</w:t>
      </w:r>
    </w:p>
    <w:p>
      <w:r>
        <w:rPr>
          <w:b/>
        </w:rPr>
        <w:t>E. 1.3.9</w:t>
      </w:r>
    </w:p>
    <w:p>
      <w:r>
        <w:t>Par conséquent, l'appel formé par l'appelant est recevable.</w:t>
      </w:r>
    </w:p>
    <w:p>
      <w:r>
        <w:rPr>
          <w:b/>
        </w:rPr>
        <w:t>E. 1.4</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1.5</w:t>
      </w:r>
    </w:p>
    <w:p>
      <w:r>
        <w:t>L'intimé a produit de nouvelles pièces.</w:t>
      </w:r>
    </w:p>
    <w:p>
      <w:r>
        <w:rPr>
          <w:b/>
        </w:rPr>
        <w:t>E. 1.5.1</w:t>
      </w:r>
    </w:p>
    <w:p>
      <w:r>
        <w:t>Selon l'art. 317 al. 1 CPC, les faits et les moyens de preuve nouveaux ne sont pris en compte qu'aux conditions suivantes: ils sont invoqués ou produits sans retard (let. a) et ils ne pouvaient être invoqués ou produits devant la première instance bien que la partie qui s'en prévaut ait fait preuve de la diligence requise (let. b).</w:t>
      </w:r>
    </w:p>
    <w:p>
      <w:r>
        <w:rPr>
          <w:b/>
        </w:rPr>
        <w:t>E. 1.5.2</w:t>
      </w:r>
    </w:p>
    <w:p>
      <w:r>
        <w:t>En l'espèce, les pièces nouvellement produites par l'intimé ont été établies postérieurement à la date à laquelle la cause a été gardée à juger par le Tribunal, de sorte qu'elles sont recevables, ainsi que les allégués de fait s'y rapportant, sans préjudice de leur pertinence pour l'issue du litige. 2. L'appelant reproche au Tribunal une constatation inexacte des faits en lien avec le pacte successoral, en particulier l'absence de mention des concessions réciproques ayant mené à sa conclusion. Il s'agissait dès lors d'un pacte onéreux. Il fait également grief au premier juge une violation de l'art. 494 CC, dès lors que seule sa réserve légale lui a été attribuée, en lieu et place d'un tiers de la succession. 2.1 Aux termes de l'art. 494 CC, le disposant peut s'obliger, dans un pacte successoral, à laisser sa succession ou un legs à l'autre partie contractante ou à un tiers (al. 1); il continue à disposer librement de ses biens (al. 2); toutefois, peuvent être attaquées les dispositions pour cause de mort et les donations inconciliables avec les engagements résultant du pacte successoral (al. 3). L'acte rédigé en la forme d'un pacte successoral peut contenir, à côté des dispositions contractuelles qui lient les deux parties, des clauses unilatérales, testamentaires, qui sont librement révocables en vertu de l'art. 509 al. 1 CC (ATF 133 III 406 consid. 2.1 in JdT 2007 I 364 et la référence; arrêt du Tribunal fédéral 5A_172/2017 du 7 mars 2018 consid. 3.3.1).</w:t>
      </w:r>
    </w:p>
    <w:p>
      <w:r>
        <w:t>- 15/21 -</w:t>
      </w:r>
    </w:p>
    <w:p>
      <w:r>
        <w:t>C/10305/2015 En concluant le pacte, le de cujus ne peut plus valablement faire des dispositions pour cause de mort qui tiendraient celles du pacte en échec. Le pacte crée ainsi en faveur du bénéficiaire de la disposition une vocation successorale que le de cujus ne peut pas révoquer unilatéralement (STEINAUER, Le droit des successions, 2015, n. 624). Pour juger si une certaine clause, contenue dans un pacte successoral, est de nature contractuelle - et donc irrévocable -, ou unilatérale - et donc révocable -, ce qu'il faut déterminer, dans chaque cas, c'est si le cocontractant avait un intérêt - reconnaissable pour le disposant, ou connu de lui - à ce que ce dernier soit lié (ATF 133 III 406 consid. 2.3). L'interprétation des clauses bilatérales d'un pacte successoral est soumise aux règles applicables en matière contractuelle (ATF 133 III 406 consid. 2.2; arrêts du Tribunal fédéral 5A_172/2017 précité consid. 3.3.2; 5A_84/2017 du 7 novembre 2017 consid. 3.1). Il s'ensuit que le juge doit rechercher, dans un premier temps, la réelle et commune intention des parties (interprétation subjective), le cas échéant empiriquement, sur la base d'indices (art. 7 CC en lien avec l'art. 18 al. 1 CO; ATF 143 III 157 consid. 1.2.2 et la référence; 140 III 86 consid. 4.1). Constituent des indices en ce sens non seulement la teneur des déclarations de volonté, mais encore le contexte général, à savoir toutes les circonstances qui permettent de découvrir la volonté des parties, qu'il s'agisse de déclarations antérieures à la conclusion du contrat ou de faits postérieurs à celle-ci (ATF 143 III 157 consid. 1.2.2; 142 III 239 consid. 5.2.1). L'appréciation de ces indices concrets par le juge, selon son expérience générale de la vie, relève du fait (ATF 118 II 365 consid. 1; arrêt 4A_508/2016 du 16 juin 2017 consid. 6.2 non publié in ATF 143 III 348). Si la recherche aboutit à un résultat positif, le juge parvient à la conclusion que les parties se sont comprises. Si la volonté réelle des parties ne peut être établie - parce que les preuves font défaut ou ne sont pas concluantes -, ou si elle est divergente - ce qui ne ressort pas déjà du simple fait qu'une partie l'affirme en procédure mais doit résulter de l'administration des preuves (arrêt du Tribunal fédéral 4A_155/2017 du 12 octobre 2017 consid. 2.3 et les références) -, le juge doit appliquer le principe de la confiance, à savoir rechercher comment une déclaration ou une attitude pouvait être comprise de bonne foi en fonction de l'ensemble des circonstances (ATF 143 III 157 consid. 1.2.2 et les références), étant rappelé que ce principe permet d'imputer à une partie le sens objectif de sa déclaration ou de son comportement, même s'il ne correspond pas à sa volonté intime (ATF 130 III 417 consid. 3.2 et les références; arrêts du Tribunal fédéral 5A_172/2017 précité consid. 3.3.2; 4A_155/2017 précité consid. 2.3).</w:t>
      </w:r>
    </w:p>
    <w:p>
      <w:r>
        <w:t>- 16/21 -</w:t>
      </w:r>
    </w:p>
    <w:p>
      <w:r>
        <w:t>C/10305/2015 Si la teneur d'une clause contractuelle ne fournit aucune information s'agissant de la compréhension divergente d'une clause, il faut rechercher la volonté des parties en s'appuyant d'abord sur des présomptions de fait. Une clause doit être considérée comme étant de nature contractuelle lorsqu'elle ne figure pas dans le texte du contrat par hasard seulement mais a une relation avec le contenu de celui- ci (ATF 70 II 7 consid. 2 = JdT 1944 I488, 491). C'est en se basant sur les intérêts des parties en présence que l'on doit décider si l'on est en présence d'une disposition contractuelle, liant les parties, ou d'une disposition unilatérale et révocable (ATF 133 III 406 consid. 2.3; arrêt du Tribunal fédéral 5C.256/2004 du 2 juin 2005 consid. 3.2 et les références). Il y a lieu d'admettre, sauf indice contraire, le caractère contractuel d'une clause lorsque le cocontractant du de cujus y a un intérêt, cet intérêt existant toujours lorsqu'il s'agit de dispositions en faveur du cocontractant. Si des époux s'instituent réciproquement héritiers, et se substituent leurs enfants communs, on peut présumer un intérêt des deux parties à la substitution, partant une clause contractuelle (arrêt du Tribunal fédéral 5C.256/2004 du 2 juin 2005 consid. 2.1; ABBET, Commentaire romand du Code civil II, 2016, n. 22 ad Intro. aux art. 494- 497 CC). 2.2 Un testament ou une donation ultérieurs ne peuvent être attaqués sur la base de l'art. 494 al. 3 CC si la partie du pacte successoral litigieux ne renferme pas de dispositions contractuelles, mais des clauses testamentaires, unilatérales (ATF 101 II 305 consid. 3a; arrêt du Tribunal fédéral 5C.256/2004 du 2 juin 2005 consid. 3). Sont attaquables les dispositions figurant dans un testament ou un pacte successoral postérieur au pacte dans la mesure où elles sont incompatibles avec les attributions prévues dans celui-ci. Une telle incompatibilité surviendra en particulier lorsque l’institution d’héritier postérieure empiète sur la part attribuée dans le pacte ou en cas de legs d’un objet déjà légué dans le pacte antérieur (ABBET, op. cit., n. 12 ad art. 494 CC). 2.3 La mort du disposant transforme l'expectative (de droit ou de fait) du bénéficiaire héritier ou légataire en un véritable droit, auquel l'art. 494 al. 3 CC donne cette fois une protection rétroactive. Le bénéficiaire peut en effet attaquer les dispositions pour cause de mort et les donations inconciliables avec les engagements résultant du pacte successoral. Aussi bien ces dispositions pour cause de mort que ces donations ne sont cependant pas nulles de plein droit. Le bénéficiaire doit en obtenir l'annulation par le biais d'une action analogue à l'action en réduction (STEINAUER, op. cit., n. 633 et la jurisprudence citée; ABBET, op. cit., n. 11 ad art. 494 CC). 2.4 Le prononcé de nullité du testament a pour effet de soumettre la succession au droit ab intestat ou de faire revivre des dispositions à cause de mort antérieures</w:t>
      </w:r>
    </w:p>
    <w:p>
      <w:r>
        <w:t>- 17/21 -</w:t>
      </w:r>
    </w:p>
    <w:p>
      <w:r>
        <w:t>C/10305/2015 valables, révoquées par l'acte annulé (arrêt du Tribunal fédéral 5A_89/2011 précité consid. 2.1.2; FORNI/PIATTI, op. cit., n. 29 ad art. 519/ 520 CC; ESCHER, Zürcher Kommentar, 3e éd., 1960, n. 6 ad art. 519 CC; STEINAUER, Le droit des successions, 2006, n. 776, p. 378). 2.5 Dans le présent cas, il convient en premier lieu de déterminer, en interprétant la volonté des parties lors de la conclusion du Pacte successoral du 25 octobre 1990, si les clauses de celui-ci sont de nature contractuelle ou s'il s'agit de dispositions testamentaires unilatérales. En effet, la validité des clauses contenues dans le testament du 8 mai 2008, modifiant celles du Pacte successoral, dépend de cette question. Comme rappelé ci-avant, un testament ultérieur ne peut être attaqué sur la base de l'art. 494 al. 3 CC si la partie du pacte successoral litigieux ne renferme pas de dispositions contractuelles, mais des clauses testamentaires, unilatérales. Il n'est pas contesté par les parties qu'elles se sont rencontrées, avec le défunt, après le décès de feu G______, en vue de régler la succession de cette dernière, avant le remariage du de cujus. En particulier, l'appelant et l'intimée n. 3 ont soumis à leur père deux propositions de partage de la succession de feu leur mère. Il est admis par les parties à la présente procédure que F______ et ses trois enfants sont parvenus à un accord global. Dans ce cadre et par Convention du 25 octobre 1990, ils sont convenus de ce que F______ renonçait expressément aux bénéfices du testament de feu son épouse du 30 septembre 1969, de ce qu'il recevrait sa part réservataire, soit un quart de la succession de feu son épouse et que le solde serait réparti à parts égales entre ses trois enfants. Les trois enfants ont expressément reconnu que la propriété de J______ [GE] était un bien propre de leur père, dont ce dernier pourrait disposer comme bon lui semblerait. Ils ont pour le surplus renoncé à faire entrer dans la liquidation du régime matrimonial du couple F/G______ un compte bancaire ainsi qu'un compte postal, de même qu'une voiture. Il n'est pas contesté qu'en contrepartie des concessions faites par ses enfants, F______ a institué pour seuls et uniques héritiers ses trois enfants. Le même jour, F______, ses trois enfants ainsi que sa future épouse ont conclu le Pacte successoral, dans le cadre duquel ils sont convenus de ce que le précité et sa future épouse renonçaient réciproquement aux droits conférés au conjoint survivant dans leur succession respective, de ce que F______ révoquait et annulait toutes dispositions testamentaires antérieures et instituait pour ses seuls héritiers ses trois enfants, à parts égales entre eux, ou à défaut, leurs descendants, les trois enfants s'engageant pour leur part à accorder à la future épouse de leur père un droit d'habitation sur la villa sise à J______ [GE].</w:t>
      </w:r>
    </w:p>
    <w:p>
      <w:r>
        <w:t>- 18/21 -</w:t>
      </w:r>
    </w:p>
    <w:p>
      <w:r>
        <w:t>C/10305/2015 Conformément à la théorie des intérêts, les engagements pris par le de cujus dans le Pacte successoral, à mettre en lien avec les compromis des parties contenus dans la Convention conclue le même jour, sont de nature contractuelle, puisque chacun avait intérêt, de façon reconnaissable pour l'autre, à ce que son cocontractant soit lié. Le de cujus s'est donc irrévocablement engagé à instituer ses enfants seuls et uniques héritiers de sa propre succession, à parts égales entre eux. Il y a ensuite lieu de déterminer la portée du testament du de cujus du 8 mai 2008. Par l'acte du 8 mai 2008, le de cujus a révoqué et annulé tous les testaments ou dispositions pour cause de mort antérieurs, sous réserve du Pacte successoral du 25 octobre 1990, lequel était toutefois annulé s'agissant des dispositions testamentaires unilatérales, ainsi que les dispositions relatives au droit d'habitation, la villa ayant été vendue. Il a exhérédé l'appelant et a institué l'intimée n. 3 comme héritière pour un tiers, les intimés n. 1 et 2 comme héritiers pour un sixième et l'intimé comme héritier à raison d'un tiers. Il ne fait aucun doute que ces dispositions testamentaires sont incompatibles avec le pacte successoral, lequel comporte l'engagement irrévocable du de cujus d'instituer ses trois enfants uniques et seuls héritiers de toute sa succession. 2.6 Il est admis que l'action prévue à l'art. 494 al. 3 CC est une action analogue à celle de la réduction (art. 522 ss CC) (ATF 101 II 305, JdT 1977 I 312). La clause d'exhérédation contenue à l'art. 2 page 2 du testament du 8 mai 2008 a été annulée, point définitivement tranché par le Tribunal. Il s'ensuit que l'appelant pouvait demander la réduction des dispositions du testament précité du 8 mai 2008 qui étaient en contradiction avec le Pacte successoral du 25 octobre 1990 et donc solliciter qu'un tiers de la succession lui soit dévolue. Dans ce cadre, il n'était pas nécessaire que l'appelant remette en cause, comme le soutient l'intimé, les clauses 3 et 6 dudit testament du 8 mai 2008. En effet, selon la jurisprudence et la doctrine, la nullité du testament postérieur au Pacte a pour effet de faire revivre des dispositions pour cause de mort antérieures valables, révoquées par l'acte annulé. Ainsi, l'annulation de la clause d'exhérédation fait renaître les dispositions du Pacte du 25 octobre 1990, indépendamment de l'annulation des autres clauses du testament de mai 2008. En effet, en tant que les clauses 3 et 6 du testament portent atteinte aux droits de l'appelant conférés par le Pacte, soit qu'un tiers de la succession du de cujus lui soit dévolue, elles ne peuvent, ispo facto, pas avoir d'effets, l'institution d'héritiers et de légataires en lieu et place de l'appelant contrevenant à l'engagement irrévocable du défunt envers l'appelant, notamment. Par conséquent, c'est à tort que le Tribunal a considéré que l'appelant devait être réintégré en sa qualité d'héritier réservataire. Le chiffre 2 du dispositif du</w:t>
      </w:r>
    </w:p>
    <w:p>
      <w:r>
        <w:t>- 19/21 -</w:t>
      </w:r>
    </w:p>
    <w:p>
      <w:r>
        <w:t>C/10305/2015 jugement entrepris sera dès lors annulé. Compte tenu de ce qui précède, il n'est pas nécessaire d'examiner les autres griefs de l'appelant. 2.7 La cause étant en état d'être jugée (art. 318 al. 1 let. b CPC), il sera statué en ce sens que l'appelant est héritier du de cujus à raison de la part convenue dans le Pacte successoral du 25 octobre 1990. 3. Si l'instance d'appel statue à nouveau, elle se prononce sur les frais de la première instance (art. 318 al. 3 CPC). 3.1 Le Tribunal a arrêté les frais judiciaires de la demande à 20'000 fr., montant, à juste titre, non contesté en appel (art. 13 et 17 RTFMC). L'absence d'allocation de dépens n'ayant pas non plus été remise en cause, ce point ne sera pas examiné. 3.2 Les frais judiciaires d'appel seront arrêtés à 10'000 fr. (art. 13, 17 et 35 RTFMC). Dès lors que seul l'intimé s'est opposé aux conclusions d'appel, les intimées 2 et 3 s'étant rapportées à justice et l'intimé n. 1 n'ayant pas participé à la procédure d'appel, et qu'il succombe intégralement, les frais judiciaires d'appel seront mis à sa charge (art. 106 al. 1 CPC). Aucune avance de frais n'a été versée, l'appelant plaidant au bénéfice de l'assistance judiciaire. Dès lors que l'intimé plaide également au bénéfice de l'assistance judiciaire, les frais seront provisoirement supportés par l'Etat de Genève, lequel pourra en demander le remboursement ultérieurement aux conditions fixées par l'art. 123 CPC (art. 122 al. 1 let. b CPC). 3.3 Chaque partie supportera ses propres dépens d'appel (art. 107 al. 1 let. c CPC). * * * * *</w:t>
      </w:r>
    </w:p>
    <w:p>
      <w:r>
        <w:t>- 20/21 -</w:t>
      </w:r>
    </w:p>
    <w:p>
      <w:r>
        <w:t>C/10305/2015 PAR CES MOTIFS, La Chambre civile : A la forme : Déclare recevable l'appel interjeté le 10 juin 2020 par A______ contre le chiffre 2 du dispositif du jugement JTPI/5061/2020 rendu le 8 mai 2020 par le Tribunal de première instance dans la cause C/10305/2015-2. Au fond : Annule ledit chiffre 2. Cela fait et statuant à nouveau sur ce point : Réintègre A______ en sa qualité d'héritier de feu F______ à hauteur de la part convenue dans le Pacte successoral du 25 octobre 1990. Déboute les parties de toutes autres conclusions. Sur les frais : Arrête les frais judiciaires d'appel à 10'000 fr. et les met à la charge de B______. Dit que ces frais sont provisoirement laissés à la charge de l'Etat de Genève, sous réserve d'une décision de l'assistance judiciaire. Dit que chaque partie supporte ses propres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- 21/21 -</w:t>
      </w:r>
    </w:p>
    <w:p>
      <w:r>
        <w:t>C/10305/2015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avril 2017 consid. 3.1).</w:t>
      </w:r>
    </w:p>
    <w:p>
      <w:r>
        <w:rPr>
          <w:b/>
        </w:rPr>
        <w:t>E. 8</w:t>
      </w:r>
    </w:p>
    <w:p>
      <w:r>
        <w:t>mai 2008 et à ce qu'il soit dit qu'il a la qualité d'héritier de feu son père pour une proportion d'un tiers de la succession. Il a persisté dans lesdites conclusions dans ses plaidoiries finales écrites du 31 janvier 2020. Dans son acte d'appel, l'appelant a conclu à ce que la Cour, outre qu'elle annule le chiffre 2 du dispositif de la décision entreprise, dise et constate qu'il a la qualité d'héritier de feu son père pour une proportion d'un tiers de la succession et le réintègre en sa qualité d'héritier pour une proportion d'un tiers de la succession. Dans la mesure où le Tribunal a annulé la clause d'exhérédation, point non remis en cause par les intimés dans la présente procédure d'appel, dès lors qu'ils n'ont ni formé appel, ni appel joint du jugement de première instance, seule reste litigieuse devant la Cour la question de savoir si l'appelant est héritier à raison de sa réserve ou d'un tiers de la succession. L'appelant n'a certes pas formulé de conclusions en annulation des autres clauses figurant dans le testament du 8 mai 2008, en particulier des art. 3 et 6 de celui-ci, soit l'institution comme héritiers de E______ à raison d'un tiers, de C______ et de D______, à raison d'un sixième, et de B______, à raison d'un tiers, et le legs consenti à l'épouse du défunt, de 300'000 fr. Cela étant, et conformément à la jurisprudence et à la doctrine rappelée supra (consid. 1.3.2), l'annulation d'un testament (ou de clauses testamentaires) a pour effet de soumettre la succession au droit ab intestat ou de faire revivre des dispositions à cause de mort antérieures valables, révoquées par l'acte annulé. Ainsi, et contrairement à ce que fait valoir l'intimé, la portée des clauses 3 et 6 du testament du 8 mai 2008 sera examinée ci-après, à la suite de l'annulation par le Tribunal de la clause d'exhérédation, contenue dans ledit testament. Par conséquent, les conclusions d'appel prises par l'appelant sont recevables. Par ailleurs, l'argument de l'intimé selon lequel l'appelant ne disposerait pas d'intérêt digne de protection motif pris de ce que sa part dans la succession serait dévolue à ses créanciers ne résiste pas à l'examen. L'appelant dispose en effet d'un intérêt économique à ce que la Cour détermine sa part héréditaire, indépendamment des droits des éventuels créanciers envers l'appelant. Enfin, la conclusion de l'appelant dans son acte d'appel, par laquelle il requiert de la Cour de le "réintégrer" en sa qualité d'héritier pour une proportion d'un tiers de la succession est similaire à celle prise dans ses écritures de première instance, dans lesquelles il a conclu à ce qu'il soit dit qu'il a la qualité d'héritier de feu son père pour une proportion d'un tiers de la succession. Interprétée selon le principe</w:t>
      </w:r>
    </w:p>
    <w:p>
      <w:r>
        <w:t>- 14/21 -</w:t>
      </w:r>
    </w:p>
    <w:p>
      <w:r>
        <w:t>C/10305/2015 de la bonne foi, cette précision ne constitue pas une conclusion nouvelle et ne modifie pas l'objet du litige. Les griefs de l'intimé seront dès lors intégralement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