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ACJC/1653/2021 vom 20. Dezember 2021</w:t>
      </w:r>
    </w:p>
    <w:p>
      <w:r>
        <w:t>GE Cour de justice, 2021-12-20, FR</w:t>
      </w:r>
    </w:p>
    <w:p>
      <w:r>
        <w:rPr>
          <w:b/>
        </w:rPr>
        <w:t xml:space="preserve">Quelle: </w:t>
      </w:r>
      <w:r>
        <w:t>https://mcp.opencaselaw.ch/entscheid/ge_gerichte_ACJC_1653_2021</w:t>
      </w:r>
    </w:p>
    <w:p>
      <w:r>
        <w:t>FR: GE_GERICHTE ACJC/1653/2021 du 20 décembre 2021</w:t>
      </w:r>
    </w:p>
    <w:p>
      <w:r>
        <w:t>IT: GE_GERICHTE ACJC/1653/2021 del 20 dicembre 2021</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30 jours (art. 142 al. 3, 311 al. 1 CPC), à l'encontre d'une décision finale (art. 308 al. 1 let. a CPC), qui statue sur la contribution à l'entretien de l'enfant mineur, soit sur une affaire patrimoniale, dont la valeur litigieuse est, compte tenu des montants réclamés à ce titre, supérieure à 10'000 fr. (art. 91 al. 1, 92 et 308 al. 2 CPC).</w:t>
      </w:r>
    </w:p>
    <w:p>
      <w:r>
        <w:rPr>
          <w:b/>
        </w:rPr>
        <w:t>E. 1.2</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5A_843/2018 du 12 février 2020 consid. 5.2). L'obligation du juge d'établir les faits d'office ne dispense cependant pas les parties de collaborer activement à la procédure. Il leur incombe de renseigner le juge sur les faits de la cause et de lui indiquer les moyens de preuve disponibles (ATF 128 III 411 consid. 3.2.1; arrêt du Tribunal fédéral 5A_361/2019 du 21 février 2020).</w:t>
      </w:r>
    </w:p>
    <w:p>
      <w:r>
        <w:rPr>
          <w:b/>
        </w:rPr>
        <w:t>E. 1.4</w:t>
      </w:r>
    </w:p>
    <w:p>
      <w:r>
        <w:t>Les parties ont chacune allégué des faits nouveaux et produit des pièces nouvelles en appel, qui sont recevables dans la mesure où la cause concerne l'enfant mineur de sorte que, les parties peuvent présenter des nova en appel même si les conditions de l'art. 317 al. 1 CPC ne sont pas remplies (ATF 144 III 349 consid. 4.2.1).</w:t>
      </w:r>
    </w:p>
    <w:p>
      <w:r>
        <w:rPr>
          <w:b/>
        </w:rPr>
        <w:t>E. 1.5</w:t>
      </w:r>
    </w:p>
    <w:p>
      <w:r>
        <w:t>La Cour s'estimant, par ailleurs, suffisamment informée de la situation financière de l'appelant, il ne sera pas donné une suite favorable à la demande de production de pièce de l'intimée.</w:t>
      </w:r>
    </w:p>
    <w:p>
      <w:r>
        <w:t>- 9/20 -</w:t>
      </w:r>
    </w:p>
    <w:p>
      <w:r>
        <w:t>C/7202/2019</w:t>
      </w:r>
    </w:p>
    <w:p>
      <w:r>
        <w:rPr>
          <w:b/>
        </w:rPr>
        <w:t>E. 2</w:t>
      </w:r>
    </w:p>
    <w:p>
      <w:r>
        <w:t>L'appelant conteste le jugement en tant qu'il l'a débouté de sa demande en réduction du montant de la contribution à l'entretien de l'enfant.</w:t>
      </w:r>
    </w:p>
    <w:p>
      <w:r>
        <w:t>2.1.1 Si la situation change notablement, le juge modifie ou supprime la contribution d'entretien à la demande du père, de la mère ou de l'enfant (art. 286 al. 2 CC). Cette modification ou suppression suppose que des faits nouveaux importants et durables surviennent, qui commandent une réglementation différente.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5A_190/2020 du 30 avril 2021 consid. 3). Le moment déterminant pour apprécier si des circonstances nouvelles se sont produites est la date du dépôt de la demande de modification (ATF 137 III 604 consid. 4.1.4; 120 II 285 consid. 4b). C'est donc à ce moment-là qu'il y a lieu de se placer pour déterminer le revenu et son évolution prévisible (arrêt du Tribunal fédéral 5A_190/2020 du 30 avril 2021 consid. 3).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5A_190/2020 précité). Pour que le juge puisse procéder à cette actualisation, il n'est pas nécessaire que la modification survenue dans ces autres éléments constitue également un fait nouveau (ATF 138 III 289 consid. 11.1.1 et les références; arrêts 5A_230/2019 précité consid. 6.1; 5A_760/2016 précité consid. 5.1; 5A_260/2016 du 14 octobre 2016 consid. 2.1.2; 5A_643/2015 du 15 mars 2016 consid. 4). La survenance d'un fait nouveau - important et durable - n'entraîne toutefois pas automatiquement une modification de la contribution d'entretien. Le juge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 du Tribunal fédéral 5A_890/2020 du 2 décembre 2020 consid. 3 et les références citées). La charge d'entretien doit rester équilibrée pour chacune des</w:t>
      </w:r>
    </w:p>
    <w:p>
      <w:r>
        <w:t>- 10/20 -</w:t>
      </w:r>
    </w:p>
    <w:p>
      <w:r>
        <w:t>C/7202/2019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(arrêt du Tribunal fédéral 5A_190/2020 du 30 avril 2021 consid. 3). 2.1.2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il faut tout d'abord couvrir le minimum vital du droit des poursuites ou, si les moyens le permettent, le minimum vital du droit de la famille de chaque partie (ATF 147 III 265 consid. 7.1).</w:t>
      </w:r>
    </w:p>
    <w:p>
      <w:r>
        <w:t>- 11/20 -</w:t>
      </w:r>
    </w:p>
    <w:p>
      <w:r>
        <w:t>C/7202/2019 2.1.3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et les références).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précité consid. 3.3.1.2).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précité consid. 3.2.2). 2.1.4 Dans le calcul des besoins, le minimum vital du droit des poursuites comprend l'entretien de base selon les normes d'insaisissabilité (NI 2021, RS/GE E 3 60.04), auquel sont ajoutées les dépenses incompressibles, à savoir, pour</w:t>
      </w:r>
    </w:p>
    <w:p>
      <w:r>
        <w:t>- 12/20 -</w:t>
      </w:r>
    </w:p>
    <w:p>
      <w:r>
        <w:t>C/7202/2019 l'enfant, les primes d'assurance-maladie obligatoire, les frais de formation, les frais médicaux non pris en charge par une assurance, une part des frais de logement du parent gardien et les frais de garde par des tiers (arrêt du Tribunal fédéral 5A_311/2019 précité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(BASTONS BULLETTI, L'entretien après divorce : méthodes de calcul, montant, durée et limites, in SJ 2007 II 77, p. 102). Lorsque la prise en charge quotidienne de l'enfant se répartit entre les deux parents, une part au loyer de l'enfant chez chaque parent est admise (arrêt du Tribunal fédéral 5A_952/2019 du 2 décembre 2020 consid. 6.3.2).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 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4.1.5 et 7.2). Le ou les débiteurs d'aliments doivent toujours disposer de leur propre minimum vital en vertu de la loi sur les poursuites. Dans la mesure où le minimum vital des parents et des enfants mineurs prévu par le droit de la famille et adapté aux circonstances est couvert, les parents doivent couvrir les pensions alimentaires des adultes (ex-conjoint, enfants majeurs) à partir des fonds restants. Tout excédent qui en résulte, déduction faite d'un taux d'épargne prouvé (ATF 140 III 485 consid. 3.3), doit être réparti à raison d'une part d'excédent pour l'enfant ("petite tête") et de deux parts pour les adultes ("grandes têtes"). Cela étant, en cas de situation financière nettement supérieure à la moyenne, la part d'excédent calculée de l'enfant doit être limitée pour des raisons éducatives, indépendamment du train de vie mené par les parents (ATF 147 III 265 consid. 7.3). 2.1.5 La garde alternée est la situation dans laquelle les parents exercent en commun l'autorité parentale, mais se partagent la garde de l'enfant d'une façon alternée pour des périodes plus ou moins égales (arrêts du Tribunal fédéral</w:t>
      </w:r>
    </w:p>
    <w:p>
      <w:r>
        <w:t>- 13/20 -</w:t>
      </w:r>
    </w:p>
    <w:p>
      <w:r>
        <w:t>C/7202/2019 5A_557/2020 du 2 février 2021 consid. 3.1; 5A_844/2019 du 17 septembre 2020 consid. 3.2.2; 5A_200/2019 du 29 janvier 2020 consid. 3.1.2). Dans un arrêt récent (ACJC/1206/2020 du 1er septembre 2020 consid. 7.2.1), la Cour a retenu que la répartition à raison de cinq nuits chez le père et neuf nuits chez la mère sur une période de deux semaines ne pouvait pas être qualifiée de garde alternée, ces périodes n'étant pas plus ou moins égales. Elle a en revanche considéré que les parties assuraient la prise en charge de leurs enfants selon un système de garde alternée dans un cas où les enfants passaient ainsi, par quinzaine, huit nuits chez leur mère et six nuits chez leur père (ACJC/1619/2020 du 17 novembre 2020, consid. 3.5; cf. également ACJC/1738/2016 du 21 décembre 2016, consid. 3.2.2).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 9 juin 2020 consid. 5.4.1; 5A_727/2018 du 22 août 2019 consid. 4.3.2.3 et les références).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2.1.6 En principe, la modification de la contribution d'entretien prend effet à la date du dépôt de la demande (ATF 117 II 368 consid. 4c; arrêt du Tribunal fédéral 5A_230/2019 précité consid. 6.1).</w:t>
      </w:r>
    </w:p>
    <w:p>
      <w:r>
        <w:t>- 14/20 -</w:t>
      </w:r>
    </w:p>
    <w:p>
      <w:r>
        <w:t>C/7202/2019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 du Tribunal fédéral 5A_549/2020 du 19 mai 2021 consid. 3.1 et les références citées). Cette dernière situation suppose que le crédirentier, sur la base d'indices objectivement sérieux, ait pu compter pendant la durée de la procédure avec le maintien du jugement d'origine; il s'agit ainsi d'un régime d'exception (arrêts du Tribunal fédéral 5A_549/2020 précité; 5A_461/2011 du 14 octobre 2011 consid. 5.1, publié in SJ 2012 I p. 148 et les arrêts cités). 2.2.1 En l'espèce, lors du dépôt de la demande, le 1er avril 2019, la situation financière de l'appelant ne s'était pas péjorée puisqu'il était, comme en mars 2017, au bénéfice d'un contrat de travail de durée déterminée auprès de F______ qui lui procurait un revenu mensuel net de l'ordre de 6'857 fr. En 2019, il a réalisé un salaire mensuel net moyen de 4'500 fr. pour des charges de l'ordre de 2'912 fr. (1'226 fr. de loyer compte tenu d'une allocation logement et de la sous-location d'une chambre, 416 fr. 50 de prime d'assurance-maladie, 70 fr. de frais de transport et 1'200 fr. d'entretien de base selon les normes OP car la garde de l'enfant n'était pas encore partagée), de sorte qu'il bénéficiait d'un solde mensuel de 1'588 fr. lui permettant de continuer à s'acquitter de la contribution à l'entretien de sa fille. Durant la même période, l'intimée avait retrouvé un emploi mais n'était pas en mesure de couvrir son propre entretien. En outre, Si l'appelant s'est retrouvé sans ressources de janvier à juin 2020, cette situation n'a été que temporaire puis qu'il a régulièrement retrouvé un emploi dès le mois de juillet 2020, seul le mois de décembre 2020 ayant été sans activité. Par conséquent, il n'y a pas lieu, de retenir que la situation financière de l'appelant s'est durablement péjorée au point de justifier la modification de la contribution à l'entretien de l'enfant. En revanche, la situation s'est modifiée depuis la transaction du 20 mars 2017 du point de vue de la répartition de la garde de l'enfant. A cette époque, l'appelant ne bénéficiait que d'un droit de visite étendu – l'enfant passait trois nuits tous les quinze jours chez son père – alors qu'actuellement les parties pratiquent une garde partagée, l'enfant passant six nuits par quatorze jours chez son père. Il s'agit donc d'une modification importante et durable de la situation qui prévalait à celle de mars 2017, laquelle est intervenue le 8 février 2021, qui justifie d'examiner si une modification du montant de la contribution à l'entretien de l'enfant est nécessaire.</w:t>
      </w:r>
    </w:p>
    <w:p>
      <w:r>
        <w:t>- 15/20 -</w:t>
      </w:r>
    </w:p>
    <w:p>
      <w:r>
        <w:t>C/7202/2019 2.2.2 Au jour du dépôt de la demande en modification, l'appelant était au bénéfice d'un contrat de travail de durée déterminé auprès de F______ qui lui procurait un revenu mensuel net de 6'857 fr. (48'000 fr. / 7). Si par la suite, l'appelant a connu une période sans emploi, il a de nouveau bénéficié de contrats de durée déterminée successifs auprès de F______, de manière quasi continue depuis le mois de juillet 2020, seul le mois de décembre 2020 ayant été chômé. De juillet 2020 à avril 2021, l'appelant a réalisé un salaire mensuel net moyen de 6'400 fr. (6'586 fr. x 3 + 10'977 fr. + 5'188 fr. + 7'644 fr. x 2) / 8). Dans sa dernière écriture du 28 juin 2021, il n'a pas allégué être à nouveau sans emploi et rien ne permet de retenir qu'il ne sera plus à nouveau régulièrement lié avec F______ par des contrats de durée déterminée successifs continuant de lui procurer une rémunération semblable. Compte tenu de ses compétences en statistique, l'appelant devait également pouvoir trouver un emploi hors des organisations internationales lui procurant un revenu semblable. En revanche, il sied de tenir compte que l'appelant s'occupe maintenant de sa fille un mercredi sur deux, de sorte que seul un temps de travail de 80% doit être retenu, ce qui lui permettra de réaliser un revenu mensuel net arrêté à 5'120 fr. Les charges admissibles de l'appelant s'élèvent à 3'297 fr. 50 comprenant le 80% de son loyer (1'461 fr., 80% de (2'426 fr. – 600 fr. de sous-location)), la prime d'assurance-maladie de base (416 fr. 50), les frais de transport (70 fr.), les acomptes d'impôts estimés compte tenu d'un revenu de 5'120 fr. par mois et une contribution d'entretien de 350 fr. par mois (600 fr.; www.ge.ch/paiement- impots/estimer-mon-impot-modifier-mes-acomptes) et l'entretien de base selon les normes OP (1'350 fr.). Il peut être exigé de l'appelant de sous-louer une chambre de son appartement, lequel compte quatre pièces et deux chambrettes, pour 600 fr. par mois, puisqu'il l'a fait durant toute l'année 2019. En revanche, compte tenu de l'augmentation de ses revenus, l'appelant ne devrait plus percevoir d'allocation logement. Dès lors qu'à ce jour l'appelant n'a jamais acquitté d'impôt, puisqu'il travaille pour des organisations internationales, des acomptes d'impôts ne seront pas pris en considération. Enfin, conformément à la jurisprudence, en cas de garde partagée l'enfant doit participer au paiement du loyer de ses deux parents. Son solde mensuel s'élèvera ainsi 1'822 fr. 50 (5'120 fr. - 3'297 fr. 50) en travaillant à 80%. 2.2.3 L'intimée travaille à 40% comme secrétaire les mardis et les jeudis pour un salaire mensuel net de 2'049 fr. Si l'intimée avait la garde exclusive de l'enfant il serait difficile d'exiger d'elle qu'elle augmente son temps de travail à plus de 50%. Cela étant, la garde de l'enfant étant partagée et C______ étant scolarisée, l'intimée est en mesure de travailler à 80% et de continuer à s'occuper de l'enfant un mercredi sur deux. S'il est établi que son employeur ne peut pas, en l'état, lui procurer un temps de travail plus élevé, il est possible pour l'intimée de trouver un</w:t>
      </w:r>
    </w:p>
    <w:p>
      <w:r>
        <w:t>- 16/20 -</w:t>
      </w:r>
    </w:p>
    <w:p>
      <w:r>
        <w:t>C/7202/2019 autre employeur comme secrétaire à raison de deux jours par semaine ou alors de changer d'employeur. Elle est ainsi en mesure de réaliser un revenu mensuel net de l'ordre de 4'000 fr. Un délai au 1er mai 2022 lui sera accordé pour réaliser un tel revenu s'agissant de trouver un nouvel employeur. Les charges admissibles de l'intimée s'élèvent à 3'036 fr. 30 fr. comprenant le 80% de son loyer (1'216 fr., 80% de 1'520 fr.), la prime d'assurance-maladie de base, subsides déduits (178 fr., soit 428 fr. – 250 fr.), la prime d'assurance-maladie complémentaire (222 fr. 30), les frais de transport (70 fr.) et l'entretien de base selon les normes OP (1'350 fr.). En réalisant un salaire plus élevé, l'intimée se verra réduire/supprimer son allocation logement, de sorte que l'entier de son loyer est pris en considération. En revanche, elle sera encore en droit de percevoir un subside pour l'aider dans le paiement de sa prime d'assurance-maladie (www.ge.ch/informations-generales-subside-assurance-maladie/baremes-2021). Compte tenu de ses revenus et de la contribution d'entretien à percevoir telle que fixée ci-après, l'intimée ne devrait pas être imposable. Son solde mensuel s'élèvera ainsi à 963 fr. 70 (4'000 fr. – 3'036 fr. 30). 2.2.4 Les charges admissibles de l'enfant C______ s'élèvent à 1'019 fr. 85, arrondi à 1'020 fr., comprenant le 20% du loyer de son père (365 fr.,), le 20% du loyer de sa mère (304 fr.), la prime d'assurance-maladie de base, subside déduits (11 fr. 85, soit 113 fr. 85 – 102 fr.), la prime d'assurance-maladie complémentaire (11 fr. 50), les frais médicaux non couverts (arrêtés à 60 fr. en moyenne), les frais de transport (2 fr. 50 pour une carte famille), les frais de cirque qui remplacent de frais de garde le mardi soir et qui sont admis par l'appelant (33 fr., soit 400 fr. / 12), les frais de garde et de cantine 2 jours par semaine (132 fr., soit (58 fr. pour les soirs + 44 pour les midis + 56 fr. pour les repas ; cf. site internet du GIAP pour le parascolaire et de la Ville M______ pour les frais de cantine) x 10 / 12)) et l'entretien de base selon les normes OP (400 fr.), sous déduction des allocations familiales (300 fr.). Il n'est pas tenu compte des frais de loisirs. En revanche, dès lors que l'intimée devra augmenter son temps de travail, des frais de parascolaires et de restaurant scolaire doivent être pris en considération. Pour la première fois en appel, l'intimée fait valoir qu'il doit être tenu compte d'une contribution de prise en charge. Toutefois, dès lors qu'en travaillant à 80%, ce que lui permet la garde partagée de l'enfant, ses revenus lui permettent de couvrir ses charges, aucune contribution de prise en charge ne doit être prise en considération. Dès que l'enfant aura atteint l'âge de 10 ans, en octobre 2023, ses frais seront de 1'262 fr. 50, compte tenu de l'augmentation de son entretien de base selon les normes OP (600 fr. au lieu de 400 fr.) et de frais de transport (45 fr.), puis qu'elle pourra prendre seule les transports publics et ne pourra plus se contenter d'une carte famille à 30 fr. par année.</w:t>
      </w:r>
    </w:p>
    <w:p>
      <w:r>
        <w:t>- 17/20 -</w:t>
      </w:r>
    </w:p>
    <w:p>
      <w:r>
        <w:t>C/7202/2019 2.3.1 Au vu de ce qui précède, maintenir une contribution à l'entretien de l'enfant à 800 fr. par mois tel que fixé dans la transaction du 20 mars 2018 reviendrait à augmenter la contribution de l'appelant aux charges de l'enfant dès lors que, depuis le prononcé du jugement, il contribue directement à sa prise en charge du fait de la garde partagée. 2.3.2 Cela étant, jusqu'au 1er mai 2022, l'intimée ne sera pas en mesure de contribuer à l'entretien de l'enfant, de sorte qu'il appartiendra à l'appelant de continuer de s'acquitter de la totalité des frais de l'enfant, soit d'une somme de 323 fr., arrondis à 320 fr. (1'020 fr. – 365 fr. de loyer de l'appelant – 200 fr. de prise en charge directe de l'appelant – 132 fr. de frais de garde non encore effectifs) par mois. Dès lors que la jurisprudence le permet, le dies a quo du versement de cette contribution sera fixée au prononcé du présent arrêt car la situation de l'intimée est déficitaire, les prestations qu'elle a perçu du SCARPA en substitution de la contribution d'entretien que devait lui verser l'appelant a dû manifestement être utilisée pour couvrir ses besoins et qu'elle pouvait escompter que la Cour de céans confirmerait la contribution d'entretien telle que fixée dans la transaction dès lors que le Tribunal avait débuté l'appelant de sa demande de réduction de la contribution d'entretien de l'enfant. 2.3.3 Dès le 1er mai 2022, les revenus cumulés des parties s'élèveront à 9'120 fr. (5'120 fr. + 4'000 fr.) pour des charges totales selon le minimum vital du droit de la famille de 7'354 fr. (3'297 fr. 50 + 3'036 fr. 30 + 1'020 fr.). L'excédent à partager entre les membres de la famille sera ainsi de 1'766 fr. (9'120 fr. – 7'354 fr.) auquel l'enfant doit participer à hauteur de 1/5ème, soit 353 fr., ce qui permettra notamment de couvrir ses frais de loisirs. Cela conduit à arrêter l'entretien convenable de l'enfant à 1'373 fr. (1'020 fr. + 353 fr.). Les parties partagent la garde de l'enfant, la participation de celui-ci à leur loyer respectif est similaire ainsi que les dépenses relatives à la charge quotidienne de l'enfant. Les soldes de chacun des parents permettent de couvrir ces charges, de sorte que compte tenu de ces frais le solde de l'appelant sera de 1'257 fr. 50 (1'822 fr. 50 – 365 fr. – 200 fr.) et celui de l'intimée de 460 fr. (963 fr. 70 – 304 fr. – 200 fr.). Même si l'enfant se trouve la moitié du temps chez l'appelant, c'est l'intimée qui continuera de s'acquitter des charges de l'enfant relatives à ses assurances, transport, frais de garde, etc. L'ensemble des charges restantes s'élèvent à 303 fr. 85 (11 fr. 85 pour la prime d'assurance-maladie de base, subside déduits + 11 fr. 50 de prime d'assurance-maladie complémentaire + 60 fr. de frais médicaux non couverts + 2 fr. 50 de frais de transport + 33 fr. de frais de cirque + 132 fr. de frais parascolaire + 353 fr. de participation à l'excédent – les allocations familiales de 300 fr.).</w:t>
      </w:r>
    </w:p>
    <w:p>
      <w:r>
        <w:t>- 18/20 -</w:t>
      </w:r>
    </w:p>
    <w:p>
      <w:r>
        <w:t>C/7202/2019 Par conséquent, l'appelant sera condamné à verser à l'intimée, à titre de contribution à l'entretien de l'enfant C______, par mois et d'avance, allocations familiales non comprises, 300 fr. dès le 1er mai 2022 jusqu'à l'âge de 10 ans révolus, 400 fr. jusqu'à l'âge de 15 ans révolus et 500 fr. jusqu'à l'âge de 18 ans, voire au-delà si l'enfant poursuit une formation professionnelle ou des études sérieuses et régulières. La loi ne prévoyant pas de limite d'âge pour la contribution d'entretien en faveur d'un enfant, la limite à 25 ans n'a pas lieu d'être. Une fois ce montant versé l'appelant bénéficiera encore d'un solde mensuel de l'ordre de 760 fr. (1'257 fr. 50 – 500 fr.), qui lui permettra de s'acquitter d'impôts éventuels, ceux-ci pouvant être estimés à environ 600 fr. par mois, compte tenu d'un revenu de 5'120 fr. par mois et une contribution d'entretien de 400 fr. par mois (www.ge.ch/paiement-impots/estimer-mon-impot-modifier-mes-acomptes).</w:t>
      </w:r>
    </w:p>
    <w:p>
      <w:r>
        <w:rPr>
          <w:b/>
        </w:rPr>
        <w:t>E. 3.1</w:t>
      </w:r>
    </w:p>
    <w:p>
      <w:r>
        <w:t>Si l'instance d'appel statue à nouveau, elle se prononce sur les frais de la première instance (art. 318 al. 3 CPC). En l'espèce, ni la quotité ni la répartition des frais et dépens de première instance n'ont été valablement remises en cause en appel et celles-ci ont été arrêtés conformément aux règles légales. Compte tenu de la nature familiale du litige, la modification du jugement attaqué ne justifie pas que la répartition des frais soit revue. Par conséquent, le jugement entrepris sera confirmé sur ce point.</w:t>
      </w:r>
    </w:p>
    <w:p>
      <w:r>
        <w:rPr>
          <w:b/>
        </w:rPr>
        <w:t>E. 3.2</w:t>
      </w:r>
    </w:p>
    <w:p>
      <w:r>
        <w:t>Les frais judiciaires de la procédure d’appel, fixés à 700 fr. (art. 32 et 35 RTFMC), seront, pour des motifs d’équité liés à la nature familiale du litige, mis à charge des parties à raison d’une moitié chacune (art. 95, 104 al. 1, 105, 106 al. 1 et 107 al. 1 let. c CPC). Ils seront compensés à concurrence de 350 fr. avec l'avance de frais de 700 fr. fournie par l'appelant, qui reste acquise à l'Etat de Genève. Les Services financiers du Pouvoir judiciaire seront invités à rembourser à l'appelant le solde de l'avance en 350 fr. (700 fr. - 350 fr.). L'intimée plaidant au bénéfice de l'assistance juridique, sa part des frais sera provisoirement supportée par l'Etat de Genève (art. 122 al. 1 let. b, 123 al. 1 CPC et 19 RAJ). Compte tenu de la nature familiale du litige, chaque partie supportera ses propres dépens d'appel (art. 107 al. 1 let. c CPC). * * * * *</w:t>
      </w:r>
    </w:p>
    <w:p>
      <w:r>
        <w:t>- 19/20 -</w:t>
      </w:r>
    </w:p>
    <w:p>
      <w:r>
        <w:t>C/7202/2019 PAR CES MOTIFS, La Chambre civile : A la forme : Déclare recevable l'appel interjeté le 12 mars 2021 par A______ contre le jugement JTPI/1643/2021 rendu le 8 février 2021 par le Tribunal de première instance dans la cause C/7202/2019. Au fond : Annule le chiffre 9 de son dispositif en tant qu'il déboute A______ de ses conclusions en modification du chiffre 1 de la transaction ACTPI/72/2017 du 20 mars 2017 rendue dans la cause C/1______/2016 et, statuant à nouveau sur ce point : Modifie le chiffre 1 de la transaction ACTPI/72/2017 du 20 mars 2017 rendue dans la cause C/1______/2016 et condamne A______ à verser en mains de B______, à titre de contribution à l'entretien de l'enfant C______, par mois et d'avance, outre les allocations familiales ou d'études éventuellement versées, la somme de 320 fr. dès l'entrée en force du présent arrêt jusqu'au 30 avril 2022, puis la somme de 300 fr. du 1er mai 2022 jusqu'à l'âge de 10 ans révolus, de 400 fr. jusqu'à l'âge de 15 ans révolus et de 500 fr. jusqu'à l'âge de 18 ans révolus, voire au-delà si l'enfant poursuit une formation professionnelle ou des études sérieuses et régulières. Confirme le jugement querellé pour le surplus. Déboute les parties de toutes autres conclusions. Sur les frais : Arrête les frais judiciaires d'appel à 700 fr. et les met à la charge des parties pour moitié chacune. Compense les frais judiciaires de 350 fr. dus par A______ avec l'avance de frais fournie, laquelle demeure acquise à l'Etat de Genève à due concurrence. Invite les Services financiers du Pouvoir judiciaire à restituer 350 fr. à A______. Dit que la somme de 350 fr. due par B______, qui plaide au bénéfice de l'assistance juridique, est provisoirement supportée par l'Etat de Genève, sous réserve d'une décision de l'Assistance juridique. Dit que chaque partie supporte ses propres dépens d'appel.</w:t>
      </w:r>
    </w:p>
    <w:p>
      <w:r>
        <w:t>- 20/20 -</w:t>
      </w:r>
    </w:p>
    <w:p>
      <w:r>
        <w:t>C/7202/2019 Siégeant : Monsieur Laurent RIEBEN, président; Monsieur Patrick CHENAUX, Madame Fabienne GEISINGER-MARIETHOZ, juges; Madame Jessica ATHMOUNI, greffière.</w:t>
      </w:r>
    </w:p>
    <w:p>
      <w:r>
        <w:t>Le président : Laurent RIEBEN</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