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ACJC/1651/2018 vom 27. November 2018</w:t>
      </w:r>
    </w:p>
    <w:p>
      <w:r>
        <w:t>GE Cour de justice, 2018-11-27, FR</w:t>
      </w:r>
    </w:p>
    <w:p>
      <w:r>
        <w:rPr>
          <w:b/>
        </w:rPr>
        <w:t xml:space="preserve">Quelle: </w:t>
      </w:r>
      <w:r>
        <w:t>https://mcp.opencaselaw.ch/entscheid/ge_gerichte_ACJC_1651_2018</w:t>
      </w:r>
    </w:p>
    <w:p>
      <w:r>
        <w:t>FR: GE_GERICHTE ACJC/1651/2018 du 27 novembre 2018</w:t>
      </w:r>
    </w:p>
    <w:p>
      <w:r>
        <w:t>IT: GE_GERICHTE ACJC/1651/2018 del 27 novembre 2018</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311 CPC). En ce qui concerne la motivation, l'appelant a le fardeau d'expliquer les motifs pour lesquels le jugement attaqué doit être annulé et modifié. Un simple renvoi aux écritures et pièces de première instance n'est pas conforme à l'exigence de motivation. L'instance supérieure doit pouvoir comprendre ce qui est reproché au premier juge, sans avoir à chercher des griefs par elle-même (arrêt du Tribunal fédéral 4A_250/2014 du 6 août 2014 consid. 3.1 et références citées; JEANDIN, in Code de procédure civile commenté, 2011, n. 3 ad art. 311).</w:t>
      </w:r>
    </w:p>
    <w:p>
      <w:r>
        <w:t>En l'espèce, formés dans le délai et selon la forme prescrits par la loi (art. 130, 131 et 311 al. 1 CPC), les appels interjetés contre les chiffres 1, 5 et 6 du dispositif du jugement de divorce du 10 janvier 2018 sont recevables. Il ne sera toutefois pas tenu compte des simples renvois aux écritures de première instance contenus dans l'appel de l'ex-époux, cette manière de procéder ne répondant pas aux exigences de motivation de l'art. 311 CPC. Dirigés contre la même décision et comportant des liens étroits, il se justifie de traiter les appels dans un seul arrêt (cf. art. 125 CPC). Par souci de simplification, l'ex-époux sera désigné en qualité d'appelant et l'ex- épouse en qualité d'intimée.</w:t>
      </w:r>
    </w:p>
    <w:p>
      <w:r>
        <w:rPr>
          <w:b/>
        </w:rPr>
        <w:t>E. 1.2</w:t>
      </w:r>
    </w:p>
    <w:p>
      <w:r>
        <w:t>La Cour revoit la cause avec un plein pouvoir d’examen (cf. art. 310 CPC). Elle applique la maxime des débats et le principe de disposition, le litige portant sur le principe, le montant et la durée d'une contribution d'entretien après divorce (art. 55 al. 1, 58 al. 1 et 277 al. 1 CPC).</w:t>
      </w:r>
    </w:p>
    <w:p>
      <w:r>
        <w:rPr>
          <w:b/>
        </w:rPr>
        <w:t>E. 2</w:t>
      </w:r>
    </w:p>
    <w:p>
      <w:r>
        <w:t>Les parties se prévalent de pièces nouvelles en appel. L'intimée conclut pour la première fois en appel au versement d'une contribution post-divorce sous forme de capital.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teneur de l’art. 317 al. 2 CPC, la demande ne peut être modifiée que si les conditions fixées à l’art. 227 al. 1 sont remplies et si la modification repose sur des faits ou des moyens de preuve nouveaux.</w:t>
      </w:r>
    </w:p>
    <w:p>
      <w:r>
        <w:t>- 13/26 -</w:t>
      </w:r>
    </w:p>
    <w:p>
      <w:r>
        <w:t>C/27295/2015 La demande peut être modifiée si la prétention nouvelle ou modifiée relève de la même procédure et que l’une des conditions suivantes est remplie : la prétention nouvelle ou modifiée présente un lien de connexité avec la dernière prétention; la partie adverse consent à la modification de la demande (art. 227 al. 1 CPC). 2.1.2 Selon la pratique il faut distinguer les vrais nova des pseudo nova. Les vrais nova sont des faits et moyens de preuve qui ne sont survenus qu'après la fin des débats principaux de première instance.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(ATF 143 III 42 consid. 4.1; arrêts du Tribunal fédéral 5A_478/2016 du 10 mars 2017 consid. 4.2.1; 5A_456/2016 du 28 octobre 2016 consid. 4.1.1). S'il introduit des pseudo nova, l'appelant doit notamment exposer en détails les motifs pour lesquels il n'a pas pu présenter le fait ou le moyen de preuve en première instance déjà (ATF 143 III 42 consid. 4.1; arrêts du Tribunal fédéral 5A_788/2017 du 2 juillet 2018 consid. 4.2.1 destiné à publication; 5A_756/2017 du 6 novembre 2017). 2.2.1 En l'espèce, l'intimée a produit, sous pièces 71 à 73, diverses expertises pour déterminer la valeur locative de son bien immobilier. Ces documents sont irrecevables, dès lors qu'ils auraient pu être obtenus et produits en première instance. En effet, la procédure portait alors déjà sur les éventuels revenus que l'intimée était susceptible de se procurer. La recevabilité des bordereaux du 31 janvier 2018 (pièces 74 et 75 de l'intimée) et des autres documents produits sous pièces 76 à 79 par l'intimée peut rester indécise, dans la mesure où les faits que ces documents tendent à démontrer, à savoir l'existence de dettes d'impôts et d'avocat postérieurs à la séparation des parties, ne sont pas pertinents pour l'issue du litige. L'intimée ne se prévaut d'ailleurs pas de ces éléments pour calculer sa contribution post-divorce. Les nouveaux bulletins de versement relatifs aux charges de copropriété de l'intimée pour l'année 2018 sont recevables, car ils sont postérieurs au prononcé du jugement de divorce. L'intimée produit, sous pièces 85 à 89, les statuts de la société AC______ SA, ainsi que des extraits de registres du commerce et de la FOSC au sujet de cette société, dénommée précédemment AB______ SA et devenue par la suite AD______ SA. Ces faits étant notoires, ces pièces sont recevables. En revanche, dans la mesure où l'intimée n'explique pas les circonstances dans lesquelles elle a eu connaissance de l'existence de ces sociétés et que les documents liés à la</w:t>
      </w:r>
    </w:p>
    <w:p>
      <w:r>
        <w:t>- 14/26 -</w:t>
      </w:r>
    </w:p>
    <w:p>
      <w:r>
        <w:t>C/27295/2015 constitution de la société AB______ SA, fondée en 2014, auraient pu être obtenus en première instance déjà, les pièces 80 à 84 seront écartées. Les pièces 90 à 92 de l'intimée sont recevables, dans la mesure où elles concernent le départ de l'appelant de Suisse, survenu après le prononcé du jugement de divorce. L'intimée a en outre produit, sous pièce 93, le rapport d'une entreprise de renseignements qu'elle a mandatée pour mener une enquête sur l'état de la fortune de son ex-époux. Dans la mesure où cette enquête aurait pu être effectuée en première instance déjà, elle est irrecevable en appel. Les pièces 94 à 95 concernent des publications faites dans la FOSC au sujet de la nomination d'administrateurs de sociétés inscrites au Registre du commerce de Genève, de sorte que s'agissant de faits notoires, ces éléments sont admis à la procédure. Les pièces 96 à 97 concernent les donations faites par les parties de 2006 à 2013, de sorte qu'elles auraient du être obtenues en première instance déjà. Leur production étant donc tardive, ces documents seront écartés de la procédure. 2.2.2 S'agissant des pièces produites par l'appelant, le bail à loyer du 8 février 2018 (pièce 56) est recevable, puisqu'il a été établi après le prononcé du jugement de divorce. Le contrat de cession d'actions du 7 septembre 2016, la réquisition d'inscription au Registre du commerce de Genève, le procès-verbal de l'assemblée générale extraordinaire de la société AC______ SA du 6 octobre 2016 et la déclaration fiscale de AC______ SA pour l'année 2015 (pièces 57 et 59) sont recevables, dans la mesure où ces documents répondent à un argument soulevé par l'intimée uniquement dans son appel, à savoir l'intention de son ex-époux de constituer des sociétés pour lesquelles il n'apparaît plus comme étant administrateur. Les factures relatives à son nouveau loyer (pièce 60 et 61) sont également admises à la procédure, l'installation de l'appelant au Portugal étant postérieure au prononcé du jugement de divorce. L'attestation de AF______ SA du 12 avril 2018 (pièce 63) est aussi recevable, puisqu'elle concerne des faits survenus durant le délai d'appel. Enfin, il ne sera pas tenu compte des conventions de cession du capital-actions de L______ SA et de AG______ SA des 29 avril 2016 et 18 mai 2011 (pièces 62 et 64), car elles concernent des faits déjà connus en première instance par l'appelant, qui les produit en appel pour répondre à des arguments de l'intimée fondés sur des faits irrecevables.</w:t>
      </w:r>
    </w:p>
    <w:p>
      <w:r>
        <w:t>- 15/26 -</w:t>
      </w:r>
    </w:p>
    <w:p>
      <w:r>
        <w:t>C/27295/2015</w:t>
      </w:r>
    </w:p>
    <w:p>
      <w:r>
        <w:rPr>
          <w:b/>
        </w:rPr>
        <w:t>E. 2.3</w:t>
      </w:r>
    </w:p>
    <w:p>
      <w:r>
        <w:t>Les conclusions nouvelles de l'intimée, en paiement d'un capital, sont recevables, puisqu'elles reposent, à tout le moins en partie, sur des faits nouveaux, soit le départ de l'appelant au Portugal.</w:t>
      </w:r>
    </w:p>
    <w:p>
      <w:r>
        <w:rPr>
          <w:b/>
        </w:rPr>
        <w:t>E. 3</w:t>
      </w:r>
    </w:p>
    <w:p>
      <w:r>
        <w:t>L'intimée demande l'audition de la personne en charge du nettoyage dans les divers immeubles détenus par l'appelant pour établir que ce dernier les a vendus.</w:t>
      </w:r>
    </w:p>
    <w:p>
      <w:r>
        <w:rPr>
          <w:b/>
        </w:rPr>
        <w:t>E. 3.1</w:t>
      </w:r>
    </w:p>
    <w:p>
      <w:r>
        <w:t>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138 III 374 consid. 4.3.2).</w:t>
      </w:r>
    </w:p>
    <w:p>
      <w:r>
        <w:rPr>
          <w:b/>
        </w:rPr>
        <w:t>E. 3.2</w:t>
      </w:r>
    </w:p>
    <w:p>
      <w:r>
        <w:t>En l'espèce, il ne sera pas donné suite à la requête de l'intimée, dans la mesure où la valeur probante du témoignage sollicité serait moindre, l'intimée ayant pu facilement produire des extraits du Registre foncier pour établir avec certitude ses propos.</w:t>
      </w:r>
    </w:p>
    <w:p>
      <w:r>
        <w:rPr>
          <w:b/>
        </w:rPr>
        <w:t>E. 4</w:t>
      </w:r>
    </w:p>
    <w:p>
      <w:r>
        <w:t>L'intimée reproche au Tribunal d'avoir écarté de la procédure les pièces qu'elle avait produites après l'audience de débats principaux du 12 octobre 2017, à savoir une correspondance du Tribunal administratif de première instance du 20 mars 2012 (pièce 67) et un procès-verbal d'audience du 27 mars 2012 (pièce 68) concernant une procédure engagée par l'ASLOCA dans le cadre de la vente des appartements occupés à l'époque par les parties, ainsi qu'une photocopie de son autorisation d'établissement du 1er décembre 2017 (pièce 69).</w:t>
      </w:r>
    </w:p>
    <w:p>
      <w:r>
        <w:rPr>
          <w:b/>
        </w:rPr>
        <w:t>E. 4.1</w:t>
      </w:r>
    </w:p>
    <w:p>
      <w:r>
        <w:t>Selon l'art. 229 CPC, une fois les débats principaux ouverts, les parties ne sont admises à produire de nouveaux moyens de preuve que si ceux-ci remplissent les conditions de l'art. 229 al. 1 CPC, soit qu'ils sont postérieurs à l'échange d'écritures ou ont été découverts postérieurement (let. a : novas proprement dits), soit qu'ils existaient avant mais ne pouvaient être invoqués antérieurement malgré toute la diligence de la partie qui s'en prévaut (let. b : novas improprement dits).</w:t>
      </w:r>
    </w:p>
    <w:p>
      <w:r>
        <w:rPr>
          <w:b/>
        </w:rPr>
        <w:t>E. 4.2</w:t>
      </w:r>
    </w:p>
    <w:p>
      <w:r>
        <w:t>En l'espèce, les pièces litigieuses datent de 2007 et 2012. L'intimée soutient avoir obtenu les pièces 67 et 68 qu'après que l'appelant ait allégué pour la première fois lors de l'audience du 12 octobre 2017 avoir été dans l'impossibilité de lui faire donation de l'appartement en raison d'un recours de l'ASLOCA. L'intimée, qui ignorait la problématique ainsi soulevée, s'était alors adressée à l'ASLOCA et avait obtenu ces pièces.</w:t>
      </w:r>
    </w:p>
    <w:p>
      <w:r>
        <w:t>La question de la recevabilité de ces pièces peut rester indécise, dès lors que le fait qu'elles seraient susceptibles de prouver selon l'intimée, à savoir son implication</w:t>
      </w:r>
    </w:p>
    <w:p>
      <w:r>
        <w:t>- 16/26 -</w:t>
      </w:r>
    </w:p>
    <w:p>
      <w:r>
        <w:t>C/27295/2015 dans la rénovation de l'immeuble sis avenue 2______, n'est pas pertinent pour l'issue du litige.</w:t>
      </w:r>
    </w:p>
    <w:p>
      <w:r>
        <w:t>L'autorisation d'établissement de l'intimée de 2007 est quant à elle irrecevable, dès lors que celle-ci aurait dû la produire avant l'audience du 12 octobre 2017, le début de la vie commune des parties ayant été une question litigieuse dès le début de la procédure.</w:t>
      </w:r>
    </w:p>
    <w:p>
      <w:r>
        <w:t>Le chiffre 1 du dispositif du jugement entrepris sera donc confirmé.</w:t>
      </w:r>
    </w:p>
    <w:p>
      <w:r>
        <w:rPr>
          <w:b/>
        </w:rPr>
        <w:t>E. 5</w:t>
      </w:r>
    </w:p>
    <w:p>
      <w:r>
        <w:t>L'ex-époux se plaint d'une violation de l'art. 125 CC, le mariage n'ayant pas concrètement influencé les conditions d'existence de son ex-épouse; subsidiairement, celle-ci n'aurait droit qu'à une pension limitée dans le temps lui permettant de maintenir les conditions de vie antérieures au mariage. L'ex-épouse soutient en revanche avoir droit au maintien du train de vie mené durant les dernières années de vie commune, sans limite dans le temps.</w:t>
      </w:r>
    </w:p>
    <w:p>
      <w:r>
        <w:t>5.1.1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 du Tribuanl fédéral 5A_352/2011 du 17 février 2012 consid. 7.2.2.1 non publié aux ATF 138 III 150). Une contribution est due si le mariage a concrètement influencé la situation financière de l'époux créancier («lebensprägend»). Dans cette hypothèse, on admet en effet que la confiance placée par l'époux créancier dans la continuité du mariage et dans le maintien de la répartition des rôles, convenue librement par les époux, mérite objectivement d'être protégée (ATF 135 III 59 consid. 4.1). Quand en revanche le mariage n'a pas eu d'influence concrète sur la situation de l'époux, celui-ci ne se trouve pas dans une position de confiance digne de protection. Si le mariage a duré moins de 5 ans (mariage de courte durée), on présume qu'il n'a pas exercé d'influence concrète sur la situation financière de l'époux; lorsqu'en revanche le mariage a duré plus de 10 ans (mariage de longue durée), on présume</w:t>
      </w:r>
    </w:p>
    <w:p>
      <w:r>
        <w:t>- 17/26 -</w:t>
      </w:r>
    </w:p>
    <w:p>
      <w:r>
        <w:t>C/27295/2015 qu'il a exercé une influence concrète sur la situation financière de l'époux (ATF 135 III 59 consid. 4.1 et les références). La durée du mariage doit être calculée jusqu'à la date de la séparation de fait des parties (ATF 132 III 598 consid. 9.2). La durée d'un concubinage qualifié, lorsque les parties ont conclu un mariage subséquent, peut être prise en considération s'il a influencé durablement la vie des partenaires au point que la conclusion du mariage soit la confirmation de la responsabilité assumée et de la confiance existante (ATF 135 III 59 consid. 4.4; 132 III 598 consid. 9.2). Cette question relève toutefois du pouvoir d'appréciation du juge (art. 4 CC; ATF 135 III 59 consid. 4.4). Selon la jurisprudence,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118 II 235 consid. 3b; 124 III 52 consid. 2a/aa et les références; arrêt du Tribunal fédéral 5C_265/2002 du 1 er avril 2003 consid. 2.4 non publié aux ATF 129 III 257; arrêt du Tribunal fédéral 5A_760/2012 du 27 février 2013 consid. 5.1.2.1). Un concubinage est présumé (présomption réfragable) être qualifié (ou stable) lorsqu'il dure depuis cinq ans (ATF 118 II 235 consid. 3a; 114 II 295 consid. 1c). L'existence ou non d'un concubinage qualifié ne dépend pas des moyens financiers des concubins, mais de leurs sentiments mutuels et de l'existence d'une communauté de destins (ATF 124 III 52 consid. 2a/aa; arrêt du Tribunal fédéral 5A_760/2012 du 27 février 2013 consid. 5.1.2.1). Une position de confiance digne de protection créée par le mariage peut être retenue pour d'autres motifs également (arrêts du Tribunal fédéral 5A_361/2018 du 26 juin 2018 consid. 3; 5A_465/2016 du 19 janvier 2017 consid. 7.2.1 et la jurisprudence citée). 5.1.2 Un tel mariage ne donne toutefois pas automatiquement droit à une contribution d'entretien: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w:t>
      </w:r>
    </w:p>
    <w:p>
      <w:r>
        <w:t>- 18/26 -</w:t>
      </w:r>
    </w:p>
    <w:p>
      <w:r>
        <w:t>C/27295/2015 ATF 137 III 102 consid. 4.2.1.1; 132 III 593 consid. 3.2). Il s'agit de la limite supérieure de l'entretien convenable (ATF 141 III 465 consid. 3.1; 137 III 102 consid. 4.2.1.1). Lorsqu'il s'agit de fixer la contribution à l'entretien d'un conjoint dont la situation financière a été concrètement et durablement influencée par le mariage, l'art. 125 CC prescrit de procéder en trois étapes pour en arrêter la quotité. Il faut premièrement déterminer l'entretien convenable.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les références citées). De manière générale l'art. 125 CC laisse une large place au pouvoir d'appréciation du juge fondé sur l'ensemble des circonstances du cas d'espèce dans l'octroi et la fixation de la contribution d'entretien (ATF 138 III 289 consid. 11.1.1; 127 III 136 consid. 3a; arrêt 5A_25/2008 du Tribunal fédéral du 14 novembre 2008 consid. 8.4 non publié aux ATF 135 III 153).</w:t>
      </w:r>
    </w:p>
    <w:p>
      <w:r>
        <w:rPr>
          <w:b/>
        </w:rPr>
        <w:t>E. 5.2</w:t>
      </w:r>
    </w:p>
    <w:p>
      <w:r>
        <w:t>En l'espèce, les parties se sont mariées le 3 octobre 2008 et séparées en septembre 2013, l'appelant ayant tardivement (en fin de procédure d'appel) et de manière peu convaincante contesté cette dernière date. La durée du mariage est donc de cinq ans. Selon l'intimée, bien que le mariage ne puisse être présumé de longue durée, la relation amoureuse des parties, qui a débuté bien avant la célébration de celui-ci, a néanmoins concrètement influencé sa situation financière. Les parties se sont connues dans les années 1990 et elles ont entamé une relation amoureuse au début des années 2000, alors que l'intimée habitait à AH______ et vivait des revenus qu'elle tirait de son activité d'importation et de vente de textiles et vêtements dans des marchés de la région [de] AH______. L'appelant a, à tout le moins dès 2003, pris en charge les frais d'entretien que l'intimée devait assumer à AH______, ainsi que le coût des différents voyages de celle-ci dans le cadre de l'association D______, pour laquelle les parties étaient très actives depuis de nombreuses années. D'après le témoignage de F______, proche des époux depuis plus de 15 ans, l'appelant avait entretenu l'intimée et son fils depuis le début de leur relation, le mariage des parties n'ayant pas entraîné de changement dans leur train de vie. Ce</w:t>
      </w:r>
    </w:p>
    <w:p>
      <w:r>
        <w:t>- 19/26 -</w:t>
      </w:r>
    </w:p>
    <w:p>
      <w:r>
        <w:t>C/27295/2015 témoin a à cet égard précisé avoir rencontré le couple tant en voyage à l'étranger, que dans les propriétés de l'appelant de E______ et de Genève, ce qui plaide en faveur de la thèse de l'intimée selon laquelle la vie des parties s'est essentiellement déroulée, bien avant le mariage déjà, dans les résidences secondaires ou principales de l'appelant. Tant F______ que G______, qui connaît les parties depuis plus de 25 ans, ont en outre confirmé la présence de l'intimée à Genève bien avant le mariage. F______ a à cet égard précisé que les parties avaient vécu deux à trois ans dans l'immeuble rue 1______ à Genève, avant de déménager en juin 2008 à l'avenue 2______. Par ailleurs, en 2002, l'ex-épouse était déjà fortement impliquée dans les choix de vie de l'appelant, puisqu'elle a elle-même choisi la maison de E______, qu'il a achetée en mai 2003, et a participé par la suite à sa décoration. Enfin, en juin 2009, soit neuf mois après la célébration du mariage, l'appelant a fait une promesse de donation en faveur de l'intimée portant sur un appartement, estimé selon ses dires à plus d'un million de francs, ce qui plaide en faveur de l'existence d'un concubinage stable ayant précédé le mariage. Au vu de ces éléments, il sera retenu que l'appelant a, dès 2003, pris en charge l'essentiel des charges courantes de l'intimée, celle-ci ayant très rapidement passé l'essentiel de son temps à ses côtés à Genève ou dans ses résidences secondaires. Les parties ont vécu, depuis 2003, selon un même mode de vie, le mariage n'ayant rien changé à cet égard. Le fait que l'intimée n'ait résilié le bail de l'appartement de AH______ qu'en juin 2008 et qu'elle n'ait fait déménager les meubles s'y trouvant qu'à cette date ne vient pas infirmer cette appréciation. Les parties ont toujours souhaité garder une certaine intimité, même après le mariage, en conservant chacun un appartement distinct. Le concubinage des parties, d'une durée de cinq ans au moins, durant lequel l'intimée a cessé son activité sur les marchés [de] AH______ pour pouvoir vivre avec l'appelant, apparaît ainsi avoir influencé durablement la vie des parties au point que la conclusion du mariage en 2008 n'était que la confirmation de la responsabilité assumée et de la confiance existante. Dans ces circonstances, il y a lieu d'admettre que le mariage a concrètement influencé la situation financière de l'intimée. La confiance qu'elle a placée dans la continuité du mariage et dans le maintien de la répartition des rôles, convenue librement par les parties, mérite objectivement d'être protégée.</w:t>
      </w:r>
    </w:p>
    <w:p>
      <w:r>
        <w:rPr>
          <w:b/>
        </w:rPr>
        <w:t>E. 5.3</w:t>
      </w:r>
    </w:p>
    <w:p>
      <w:r>
        <w:t>L'intimée a démontré que les dépenses mensuelles qui lui sont nécessaires pour maintenir le train de vie connu durant la vie commune se composent notamment de 413 fr. de charges de copropriété, de 463 fr. 90 de primes d'assurances-maladie obligatoire et complémentaire, de 38 fr. 60 d'assurance-</w:t>
      </w:r>
    </w:p>
    <w:p>
      <w:r>
        <w:t>- 20/26 -</w:t>
      </w:r>
    </w:p>
    <w:p>
      <w:r>
        <w:t>C/27295/2015 accident, de 70 fr. de frais de transport (allégués et non contestés), de 280 fr. de femme de ménage (allégués et non contestés), de 28 fr. 70 fr. d'assurance-ménage (montant non contesté par l'appelant), de 74 fr. 35 de téléphonie fixe et d'internet (montant non contesté), de 110 fr. de téléphone portable (montant non contesté), d'1 fr. 75 de lunettes (104 fr. 50 / 5 ans / 12 mois), l'intimée n'ayant pas démontré avoir des frais de lentilles réguliers, de 28 fr. 80 de compléments alimentaires ([206 fr. 20 + 485 fr. 50] / 2 ans / 12 mois) et 115 fr. pour l'exercice du tennis, ce qui totalise une somme de 1'624 fr. 10. Par ailleurs, la facture de SIG dont se prévaut l'intimée ne justifie que des frais de 45 fr. d'électricité par mois. L'appelant n'ayant pas contesté le montant retenu par le Tribunal, c'est une somme de 74 fr. 35 qui sera admise pour ce poste. Le décompte de frais médicaux relatif à l'année 2015 et les deux factures de dentistes datées de 2007 et 2012 ne sont pas suffisants pour établir l'existence régulière de frais médicaux non couverts ou de frais de dentistes. Il en va de même pour les frais d'entretien allégués, liés à l'appartement, l'intimée n'ayant produit qu'une facture de 2016 concernant des travaux consécutifs à un sinistre. S'agissant des frais allégués pour les massages kinésithérapeutiques (100 fr.), le rolfing (170 fr.), le travail thérapeutique (280 fr.) et le yoga, il ressort des pièces de la procédure que l'ex-épouse suit une séance mensuelle de travail de thérapie d'un coût de 110 fr. depuis le 3 décembre 2005, une séance de rolfing par mois de 170 fr. depuis 2012, ainsi que des séances d'ostéopathie, dont le coût n'est pas connu, depuis janvier 2011. Il n'a en revanche pas été démontré que l'intimée suivait des cours de yoga pour un montant de 250 fr. par mois et des séances de rééquilibrage énergétique du temps de la vie commune déjà. Un montant de 600 fr. par mois, tel qu'admis par le Tribunal et non contesté par l'appelant, apparaît dès lors adéquat pour les postes allégués. Les dépenses en 4'015 fr. par mois faites par l'intimée du temps de la vie commune au moyen de ses cartes bancaires seront également admises, dans la mesure où il n'est pas contesté qu'elles correspondent à ses frais d'avion, de restauration, d'hôtel et de donations en faveur d'une fondation liée à l'association D______. Il se justifie de tenir compte des donations régulières, d'un montant d'environ 800 fr. chacune, effectuées directement par l'intimée, puisque l'implication des parties dans ladite association a été un élément important durant leur vie conjugale; l'appelant n'a du reste pas contesté l'admission de ce poste par le Tribunal dans le budget de son ex-épouse. Ces donations représentant plusieurs milliers de francs par an, il n'y a pas lieu de prendre en considération en sus les montants versés à ladite association par l'ex-époux au nom des parties. Les sommes alléguées de 1'000 fr. et de 400 fr. pour l'alimentation et les vêtements seront également admises, ces dernières étant crédibles au vu du train</w:t>
      </w:r>
    </w:p>
    <w:p>
      <w:r>
        <w:t>- 21/26 -</w:t>
      </w:r>
    </w:p>
    <w:p>
      <w:r>
        <w:t>C/27295/2015 de vie du couple. En revanche, aucun élément au dossier ne permet de retenir que l'intimée assumait, du temps de la vie commune, des frais réguliers de coiffeur, de sorties, d'ordinateur, d'imprimante, de photos ou encore d'autres frais. Enfin, si l'on tient compte d'une contribution d'entretien située entre 10'000 fr. et 11'000 fr. par mois, la charge fiscale de l'intimée peut être estimée à environ 3'200 fr., selon la calculette mise à disposition par l'administration fiscale cantonale (cf. www.ge.ch).</w:t>
      </w:r>
    </w:p>
    <w:p>
      <w:r>
        <w:t>Le montant nécessaire à l'intimée pour assumer son entretien convenable peut ainsi être évalué à 10'913 fr. 45 par mois (1'624 fr. 10 + 74 fr. 35 [SIG] + 600 fr. [rolfing/travail thérapeutique/yoga] + 4'015 fr. [avions/restaurant/hôtels/dons] + 1'400 fr. [alimentation et vêtements] + 3'200 fr. [impôts]).</w:t>
      </w:r>
    </w:p>
    <w:p>
      <w:r>
        <w:rPr>
          <w:b/>
        </w:rPr>
        <w:t>E. 5.4</w:t>
      </w:r>
    </w:p>
    <w:p>
      <w:r>
        <w:t>L'ex-épouse, aujourd'hui âgée de 58 ans, n'est au bénéfice d'aucune formation. Elle a cessé son activité de ______ depuis 15 ans. Au vu de son âge, du temps écoulé, de la rupture de ses liens avec AH______ et de la constitution, en vue de favoriser le lien conjugal, d'un nouveau cercle d'intérêts et de vie à Genève, l'intimée pourra difficilement reprendre une telle activité. A supposer, par ailleurs, qu'elle parle, en sus du français et de l'anglais, le ______ et le ______, ainsi que l'allègue l'appelant, cet élément ne serait pas suffisant pour retenir qu'elle pourrait retrouver un travail, étant donné son manque de qualifications. Le fait qu'elle ait aidé l'appelant dans la décoration des immeubles qu'il a achetés n'apparaît pas non plus déterminant, l'intimée pouvant difficilement valoriser cette expérience. L'intimée ne dispose par conséquent d'aucune capacité contributive. Seuls seront retenus, dans ses ressources, les revenus de 250 fr. par mois qu'elle tire de la location de sa place de parking. On ne saurait en revanche la contraindre de louer l'appartement dans lequel elle habite, dès lors que ce logement lui est nécessaire pour conserver ses conditions de vie antérieures.</w:t>
      </w:r>
    </w:p>
    <w:p>
      <w:r>
        <w:rPr>
          <w:b/>
        </w:rPr>
        <w:t>E. 5.5</w:t>
      </w:r>
    </w:p>
    <w:p>
      <w:r>
        <w:t>Le budget de l'intimée connaît donc un déficit de 10'663 fr. 45 par mois (10'913 fr. 45 – 250 fr.).</w:t>
      </w:r>
    </w:p>
    <w:p>
      <w:r>
        <w:t>La situation financière de l'appelant est opaque. Les ressources ou avantages financiers tirés des diverses sociétés détenues par I______ SA, dont il est l'unique actionnaire, sont inconnus. Les revenus figurant dans sa déclaration fiscale de l'année 2015, de l'ordre de 185'870 fr., ne sont pas compatibles avec le train de vie qu'il continue à mener. L'ex-époux n'a pas établi, ni même allégué, avoir dû réduire son niveau de vie dès 2015. Il n'expose à cet égard aucune raison indépendante de sa volonté qui l'aurait contraint à vendre l'immeuble de la rue 1______ à Genève et qui aurait nécessairement engendré une baisse de ses ressources mensuelles. L'ex-époux ne soutient du reste pas qu'il ne serait pas en mesure de s'acquitter de la contribution</w:t>
      </w:r>
    </w:p>
    <w:p>
      <w:r>
        <w:t>- 22/26 -</w:t>
      </w:r>
    </w:p>
    <w:p>
      <w:r>
        <w:t>C/27295/2015 de 14'000 fr. par mois réclamée par l'intimée ou qu'un tel versement le contraindrait à réduire son train de vie. Il allègue en revanche qu'il continue à faire d'importantes donations, de l'ordre de 15'000 fr. par mois. Dans ces circonstances, il y a lieu de retenir que ses revenus sont inchangés depuis 2014 et qu'il perçoit toujours des ressources mensuelles se situant entre 40'000 fr., si l'on se fonde sur son revenu imposable 2014 (472'874 fr. / 12 mois = 39'406 fr., arrondis à 40'000 fr.), et 54'000 fr. si l'on se base sur les éléments qu'il a admis dans le cadre de la présente procédure ([240'000 fr. de dividende net de I______ SA + 416'760 fr. de revenus immobiliers nets] / 12 mois = 54'730 fr.). Partant, l'ex-époux peut aisément assumer le déficit de l'intimée. Il sera ainsi condamné à verser à celle-ci une contribution d'entretien arrêtée à 10'700 fr. par mois. Après paiement d'un tel montant, l'appelant dispose encore d'un solde de l'ordre de 30'000 fr. à 40'000 fr. lui permettant de maintenir son train de vie. Aucun dies a quo n'a été fixé dans le jugement et les parties ne critiquent pas ce point. La contribution d'entretien sera donc due dès l'entrée en force du présent arrêt. Le chiffre 5 du dispositif du jugement entrepris sera donc modifié dans ce sens.</w:t>
      </w:r>
    </w:p>
    <w:p>
      <w:r>
        <w:rPr>
          <w:b/>
        </w:rPr>
        <w:t>E. 6</w:t>
      </w:r>
    </w:p>
    <w:p>
      <w:r>
        <w:t>L'intimée reproche au Tribunal d'avoir limité le versement de la contribution au jour où son ex-époux aura atteint l'âge de la retraite. Elle conclut au paiement d'une pension sans limitation temporelle.</w:t>
      </w:r>
    </w:p>
    <w:p>
      <w:r>
        <w:rPr>
          <w:b/>
        </w:rPr>
        <w:t>E. 6.1</w:t>
      </w:r>
    </w:p>
    <w:p>
      <w:r>
        <w:t>Pour fixer la durée de la contribution d'entretien, le juge doit tenir compte de l'ensemble des critères énumérés non exhaustivement à l'art. 125 al. 2 CC (ATF 132 III 598 consid. 9.1), notamment des expectatives de l'assurance- 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(arrêt du Tribunal fédéral 5A_442/2014 du 27 août 2014 consid. 3.4.1).</w:t>
      </w:r>
    </w:p>
    <w:p>
      <w:r>
        <w:rPr>
          <w:b/>
        </w:rPr>
        <w:t>E. 6.2</w:t>
      </w:r>
    </w:p>
    <w:p>
      <w:r>
        <w:t>En l'espèce, le Tribunal a retenu qu'on ne pouvait exiger de l'appelant qu'il poursuive une activité professionnelle au-delà de l'âge de la retraite, soit 65 ans. Etant propriétaire d'un appartement franc d'hypothèque, l'intimée, qui serait alors âgée de 68 ans, serait en mesure de mettre cet immeuble en location, voire de le vendre, si elle manquait de liquidités. Le premier juge a dès lors limité le paiement de la pension au mois de ______ [de l'année] 2028.</w:t>
      </w:r>
    </w:p>
    <w:p>
      <w:r>
        <w:t>- 23/26 -</w:t>
      </w:r>
    </w:p>
    <w:p>
      <w:r>
        <w:t>C/27295/2015 Ce raisonnement ne saurait être suivi, dans la mesure où les ressources de l'appelant consistent en des revenus locatifs, qui subsisteront même au-delà de sa retraite. Dans ces circonstances, il n'y a pas lieu de limiter dans le temps le versement de la contribution post-divorce due à l'ex-épouse, la solution envisagée par le Tribunal, soit la mise en location de l'appartement sis 2______, voire sa vente, n'étant pas à même de lui assurer le maintien de son train de vie antérieur. Il n'est pour le surplus ni établi, ni même allégué, que l'intimée percevra alors un quelconque revenu. Les parties n'ont cotisé à aucune prévoyance professionnelle. S'il est par ailleurs vraisemblable que l'ex-épouse recevra une rente AVS, le montant de cette dernière, qui sera probablement moindre vu la période de cotisation éventuelle, n'est pas connu. Le chiffre 5 du dispositif du jugement entrepris sera ainsi également modifié sur ce point.</w:t>
      </w:r>
    </w:p>
    <w:p>
      <w:r>
        <w:rPr>
          <w:b/>
        </w:rPr>
        <w:t>E. 7</w:t>
      </w:r>
    </w:p>
    <w:p>
      <w:r>
        <w:t>L'intimée demande à ce que la contribution post-divorce lui soit versée sous forme de capital.</w:t>
      </w:r>
    </w:p>
    <w:p>
      <w:r>
        <w:rPr>
          <w:b/>
        </w:rPr>
        <w:t>E. 7.1</w:t>
      </w:r>
    </w:p>
    <w:p>
      <w:r>
        <w:t>En vertu de l'art. 126 al. 2 CC, lorsque des circonstances particulières le justifient, le juge peut imposer un règlement définitif de l'entretien en capital. Peuvent notamment constituer des circonstances particulières justifiant le versement de l'entretien sous forme de capital, un éloignement spatial important, un risque permanent de retard dans le paiement de la contribution d'entretien, mais non le seul fait que le conjoint débiteur dispose des moyens financiers pour le faire, ni l'existence de tensions entres les ex-époux, pas plus que le risque de prédécès de l'un d'eux (arrêt du Tribunal fédéral 5A_726/2011 du 11 janvier 2017 consid. 6.1).</w:t>
      </w:r>
    </w:p>
    <w:p>
      <w:r>
        <w:rPr>
          <w:b/>
        </w:rPr>
        <w:t>E. 7.2</w:t>
      </w:r>
    </w:p>
    <w:p>
      <w:r>
        <w:t>En l'espèce, il est vrai que la situation financière de l'appelant est opaque en ce qui concerne l'origine de ses revenus et sa participation dans diverses sociétés. Le départ de l'appelant de Suisse et la fin de ses mandats d'administrateur contribuent au surplus au maintien de cette opacité. Les opérations nébuleuses de l'appelant ne concernent toutefois pas ses éléments de fortune. En effet, ce dernier est toujours propriétaire de trois biens immobiliers à Genève, ainsi que d'une résidence secondaire à E______ (France) et à P______ (Bulgarie). Aucun élément ne permet de penser que l'ex-époux aurait l'intention de vendre ces immeubles pour dissimuler les bénéfices ainsi obtenus. L'essentiel du produit de la vente de l'appartement de la rue 1______, soit près de 3'000'000 fr., est du reste toujours présent, depuis fin 2014, sur des comptes détenus à son nom à Genève. L'intimée dispose donc en l'état de garanties suffisantes pour obtenir le paiement de la contribution due, étant relevé que la fortune imposable de l'ex-époux se chiffre, selon ses déclarations fiscales 2014 et 2015, à plus de 16'000'000 fr.</w:t>
      </w:r>
    </w:p>
    <w:p>
      <w:r>
        <w:t>- 24/26 -</w:t>
      </w:r>
    </w:p>
    <w:p>
      <w:r>
        <w:t>C/27295/2015 Les conditions de l'art. 126 al. 2 CC n'étant pas remplies, les conclusions de l'intimée en paiement d'une contribution post-divorce sous forme de capital seront rejetées.</w:t>
      </w:r>
    </w:p>
    <w:p>
      <w:r>
        <w:rPr>
          <w:b/>
        </w:rPr>
        <w:t>E. 8</w:t>
      </w:r>
    </w:p>
    <w:p>
      <w:r>
        <w:t>Dès lors que le montant de contribution post-divorce est modifié, il y a lieu d'annuler le chiffre 6 du dispositif du jugement et de dire que ladite contribution sera indexée la première fois le 1er janvier 2020, à l'indice genevois des prix à la consommation, l'indice de référence étant celui du mois du prononcé du présent arrêt. Au vu de l'opacité des ressources du débirentier, il ne sera pas donné suite à la demande de celui-ci de subordonner cette indexation à l'évolution de ses revenus.</w:t>
      </w:r>
    </w:p>
    <w:p>
      <w:r>
        <w:rPr>
          <w:b/>
        </w:rPr>
        <w:t>E. 9</w:t>
      </w:r>
    </w:p>
    <w:p>
      <w:r>
        <w:t>Lorsque la Cour de céans statue à nouveau, elle se prononce sur les frais fixés par l’autorité inférieure (art. 318 al. 3 CPC).</w:t>
      </w:r>
    </w:p>
    <w:p>
      <w:r>
        <w:rPr>
          <w:b/>
        </w:rPr>
        <w:t>E. 9.1</w:t>
      </w:r>
    </w:p>
    <w:p>
      <w:r>
        <w:t>Le premier juge a mis les frais judiciaires, arrêtés à 20'120 fr., à la charge des parties pour moitié chacune et n'a pas alloué de dépens. Compte tenu de la nature du litige, une modification de la décision déférée sur ces points ne s'impose pas (art. 107 al. 1 let. c CPC). Les parties n'en demande du reste aucune.</w:t>
      </w:r>
    </w:p>
    <w:p>
      <w:r>
        <w:rPr>
          <w:b/>
        </w:rPr>
        <w:t>E. 9.2</w:t>
      </w:r>
    </w:p>
    <w:p>
      <w:r>
        <w:t>Les frais judiciaires d'appel seront arrêtés à 25'000 fr. (art. 30 et 35 du Règlement fixant le tarif des frais en matière civile, RTFMC - E 1 05.10) et seront partiellement compensés avec l'avance de frais de 10'000 fr. fournie par l'appelant, laquelle reste acquise à l'Etat de Genève (art. 111 al. 1 CPC). Compte tenu de la nature ainsi que de l'issue du litige, ces frais seront répartis à parts égales entre les parties (art. 104 al. 1, 105 al. 1, 106 et 107 al. 1 let. c CPC). L'appelant sera donc condamné à verser à l'Etat de Genève la somme de 2'500 fr. L'intimée ayant été mise au bénéfice de l'assistance juridique, les frais judiciaires d'appel mis à sa charge seront supportés provisoirement par l'Etat de Genève, soit pour lui par les Services financiers du Pouvoir judiciaire (art. 122 al. 1 let. b et 123 CPC). Egalement pour des motifs liés à la nature ainsi qu'à l'issue du litige, chaque partie supportera ses propres dépens (art. 106 et 107 al. 1 let c. CPC). * * * * *</w:t>
      </w:r>
    </w:p>
    <w:p>
      <w:r>
        <w:t>- 25/26 -</w:t>
      </w:r>
    </w:p>
    <w:p>
      <w:r>
        <w:t>C/27295/2015 PAR CES MOTIFS, La Chambre civile : A la forme : Déclare recevables les appels interjetés le 14 février 2018 par A______ et B______ contre les chiffres 1, 5 et 6 du dispositif du jugement JTPI/310/2018 rendu le 10 janvier 2018 par le Tribunal de première instance dans la cause C/27295/2015-21. Au fond : Annule les chiffres 5 et 6 du dispositif dudit jugement. Cela fait et statuant à nouveau sur ces points : Condamne B______ à payer à A______, par mois et d'avance, une contribution à son entretien de 10'700 fr. par mois dès l'entrée en force du présent arrêt. Dit que le montant de cette contribution sera indexé le 1er janvier de chaque année, la première fois le 1er janvier 2020, à l'indice genevois des prix à la consommation, l'indice de référence étant celui du mois du prononcé du présent arrêt. Confirme le chiffre 1 du jugement entrepris. Déboute les parties de toutes autres conclusions. Sur les frais : Arrête les frais judiciaires d'appel à 25'000 fr., les met à la charge de chacune des parties par moitié et les compense à hauteur de 10'000 fr. avec l'avance de frais fournie par B______, qui reste acquise à l'Etat de Genève. Condamne B______ à verser la somme de 2'500 fr. à l'Etat de Genève, soit pour lui les Services financiers du Pouvoir judiciaire. Dit que les frais judiciaires de 12'500 fr. mis à la charge de A______ sont provisoirement supportés par l'Etat de Genève. Dit que chaque partie supporte ses propres dépens.</w:t>
      </w:r>
    </w:p>
    <w:p>
      <w:r>
        <w:t>- 26/26 -</w:t>
      </w:r>
    </w:p>
    <w:p>
      <w:r>
        <w:t>C/27295/2015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