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ACJC/1650/2018 vom 19. Dezember 2018</w:t>
      </w:r>
    </w:p>
    <w:p>
      <w:r>
        <w:t>GE Cour de justice, 2018-12-19, FR</w:t>
      </w:r>
    </w:p>
    <w:p>
      <w:r>
        <w:rPr>
          <w:b/>
        </w:rPr>
        <w:t xml:space="preserve">Quelle: </w:t>
      </w:r>
      <w:r>
        <w:t>https://mcp.opencaselaw.ch/entscheid/ge_gerichte_ACJC_1650_2018</w:t>
      </w:r>
    </w:p>
    <w:p>
      <w:r>
        <w:t>FR: GE_GERICHTE ACJC/1650/2018 du 19 décembre 2018</w:t>
      </w:r>
    </w:p>
    <w:p>
      <w:r>
        <w:t>IT: GE_GERICHTE ACJC/1650/2018 del 19 dicembre 2018</w:t>
      </w:r>
    </w:p>
    <w:p>
      <w:pPr>
        <w:pStyle w:val="Heading2"/>
      </w:pPr>
      <w:r>
        <w:t>Erwägungen</w:t>
      </w:r>
    </w:p>
    <w:p>
      <w:r>
        <w:rPr>
          <w:b/>
        </w:rPr>
        <w:t>E. 1</w:t>
      </w:r>
    </w:p>
    <w:p>
      <w:r>
        <w:t>L'appel est dirigé contre une décision prise sur mesures provisionnelles (art. 308 al. 1 let. b CPC), dont la valeur litigieuse dépasse 10'000 fr., compte tenu du montant de la contribution d'entretien mensuelle contestée (art. 308 al. 2 et 92 al. 2 CPC). La voie de l'appel est dès lors ouverte. Déposé auprès de l'autorité compétente (art. 120 al. 1 let. a LOJ) dans les dix jours à compter de la notification de la décision attaquée (art. 314 al. 1 CPC) et selon la forme prescrite par la loi (art. 130, 131 et 311 CPC), l'appel est recevable.</w:t>
      </w:r>
    </w:p>
    <w:p>
      <w:r>
        <w:rPr>
          <w:b/>
        </w:rPr>
        <w:t>E. 2.1</w:t>
      </w:r>
    </w:p>
    <w:p>
      <w:r>
        <w:t>La Cour revoit la cause avec un plein pouvoir d'examen (art. 310 CPC). Les mesures provisionnelles prononcées dans le cadre d'une action en divorce étant soumises à la procédure sommaire au sens propre (art. 248 let. d, 271 let. a et 276 al. 1 CPC), la cognition du juge est toutefois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w:t>
      </w:r>
    </w:p>
    <w:p>
      <w:r>
        <w:rPr>
          <w:b/>
        </w:rPr>
        <w:t>E. 2.2</w:t>
      </w:r>
    </w:p>
    <w:p>
      <w:r>
        <w:t>Dans la mesure où seule est litigieuse la question de la contribution à l'entretien de l'épouse, la présente procédure est soumise aux maximes inquisitoire sociale (art. 272 CPC) et de disposition (art. 58 al. 1 CPC).</w:t>
      </w:r>
    </w:p>
    <w:p>
      <w:r>
        <w:rPr>
          <w:b/>
        </w:rPr>
        <w:t>E. 3</w:t>
      </w:r>
    </w:p>
    <w:p>
      <w:r>
        <w:t>L'intimée produit des pièces nouvelles en annexe à sa réponse en appel. Selon l'art. 317 al. 1 CPC, qui régit de manière complète et autonome l'admission d'allégations et d'offres de preuve nouvelles en appel, y compris dans les procédures soumises à la maxime inquisitoire simple (ATF 138 III 625 consid. 2.2),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 lot de pièces produit sous référence 0.01 de l'intimée, consistant en un chargé de pièces établi le 19 juin 2017 dont l'intimée avait connaissance, pouvait aisément être produit devant le premier juge. Ces pièces - sous réserve de celles figurant déjà à la procédure de première instance - sont dès lors</w:t>
      </w:r>
    </w:p>
    <w:p>
      <w:r>
        <w:t>- 8/11 -</w:t>
      </w:r>
    </w:p>
    <w:p>
      <w:r>
        <w:t>C/14001/2017 irrecevables. Il en est de même de la pièce annexée à son écriture de duplique, l'intimée ayant eu la possibilité de la produire devant le premier juge déjà.</w:t>
      </w:r>
    </w:p>
    <w:p>
      <w:r>
        <w:rPr>
          <w:b/>
        </w:rPr>
        <w:t>E. 4</w:t>
      </w:r>
    </w:p>
    <w:p>
      <w:r>
        <w:t>Il ne sera pas donné suite aux conclusions des parties tendant au renvoi de la cause au premier juge pour complément d'instruction ou à l'ouverture de probatoires, les moyens de preuve en matière de mesures provisionnelles étant limités à ceux qui sont immédiatement disponibles (ATF 127 III 474 consid. 2b/bb; arrêt du Tribunal fédéral 5A_442/2013 du 24 juillet 2013 consid. 2.1 et 5.1). La cause est dès lors en l'état d'être jugée.</w:t>
      </w:r>
    </w:p>
    <w:p>
      <w:r>
        <w:rPr>
          <w:b/>
        </w:rPr>
        <w:t>E. 5</w:t>
      </w:r>
    </w:p>
    <w:p>
      <w:r>
        <w:t>L'appelant conteste la contribution à l'entretien de l'épouse, que le premier juge a réduite de 3'000 fr., montant fixé par le jugement sur mesures protectrices de l'union conjugale du 21 décembre 2015, à 1'500 fr. dès le 10 mars 2018, date du dépôt de la requête de mesures provisionnelles.</w:t>
      </w:r>
    </w:p>
    <w:p>
      <w:r>
        <w:rPr>
          <w:b/>
        </w:rPr>
        <w:t>E. 5.1</w:t>
      </w:r>
    </w:p>
    <w:p>
      <w:r>
        <w:t>Une fois ordonnées, les mesures protectrices de l'union conjugale ne peuvent être modifiées - en particulier par le juge du divorce statuant à titre provisionnel - qu'aux conditions de l'art. 179 CC (ATF 137 III 614 consid. 3.2.2). Cette disposition permet au juge d'ordonner les modifications commandées par les faits nouveaux et de rapporter les mesures prises lorsque les causes qui les ont déterminées n'existent plus (art. 179 al. 1 1ère phr. CC). La modification des mesures provisoires ne peut ainsi être obtenue que si, depuis leur prononcé, les circonstances de fait ont changé d'une manière essentielle et durable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 pas eu connaissance de faits importants (notamment : arrêts du Tribunal fédéral 5A_15/2014 du 28 juillet 2014 consid. 3; 5A_245/2013 du 24 septembre 2013 consid. 3.1; 5A_101/2013 du 25 juillet 2013 consid. 3.1). En revanche, les parties ne peuvent pas invoquer, pour fonder leur requête en modification, une mauvaise appréciation des circonstances initiales, que le motif relève du droit ou de l'établissement des faits (arrêt du Tribunal fédéral 5A_618/2009 du 14 décembre 2009 consid. 3.2.2), la procédure de modification n'ayant pas pour but de corriger le premier jugement, mais de l'adapter aux circonstances nouvelles (ATF 131 III 189 consid. 2.7.4; 120 II 177 consid. 3a, 285 consid. 4b). La survenance de faits nouveaux importants et durables n'entraîne pas automatique- 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w:t>
      </w:r>
    </w:p>
    <w:p>
      <w:r>
        <w:t>- 9/11 -</w:t>
      </w:r>
    </w:p>
    <w:p>
      <w:r>
        <w:t>C/14001/2017 Le moment déterminant pour apprécier si des circonstances nouvelles se sont produites est la date du dépôt de la demande de modification (ATF 137 III 604 consid. 4.1.1; 120 II 285 consid. 4b).</w:t>
      </w:r>
    </w:p>
    <w:p>
      <w:r>
        <w:rPr>
          <w:b/>
        </w:rPr>
        <w:t>E. 5.2</w:t>
      </w:r>
    </w:p>
    <w:p>
      <w:r>
        <w:t>En l'espèce, le jugement sur mesures protectrices du 21 décembre 2015, non frappé d'appel, était exécutoire dès sa notification, intervenue par plis du 22 décembre 2015. La demande de divorce, assortie de la requête de mesures provisionnelles, a pour sa part été déposée le 22 juin 2017. Aucun élément ne permet de tenir pour vraisemblable qu'en décembre 2015, les parties aient tenu compte des expectatives successorales de l'épouse pour fixer la contribution d'entretien mensuelle en sa faveur (ATF 131 III 189 consid. 2.7.4; arrêts du Tribunal fédéral 5A_617/2017 du 28 septembre 2017 consid. 3.1, 5A_373/2015 du 2 juin 2016 consid. 4.3.1). Par ailleurs, point n'est besoin de déterminer à nouveau si l'appelant, comme il le prétend, n'a découvert l'ampleur de la fortune de l'intimée que postérieurement à l'audience du 15 décembre 2015. Cette question a en effet déjà été tranchée par le jugement rendu sur révision du 25 janvier 2018, qui n'a pas été frappé d'appel et qui, partant, lie la Cour de céans. En revanche, le 21 septembre 2016, l'intimée est devenue seule héritière de sa mère, ce qui constitue un fait nouveau devant être pris en considération. Même si aucune explication précise n'a été fournie sur l'ampleur de cette succession, dont l'intimée est seule héritière, il résulte du dossier qu'en tous les cas, elle est désormais seule propriétaire de l'appartement dans lequel vivait la défunte. Cette amélioration de la situation financière de l'épouse doit être tenue pour importante et durable, puisqu'elle permet à celle-ci, à tout le moins, d'augmenter ses revenus en mettant ce bien immobilier en location. Sur le sujet, aucun élément du dossier ne rend vraisemblable ses explications, selon lesquelles cet appartement serait destiné au logement de sa fille majeure. Le premier juge est ainsi à juste titre entré en matière sur la demande.</w:t>
      </w:r>
    </w:p>
    <w:p>
      <w:r>
        <w:rPr>
          <w:b/>
        </w:rPr>
        <w:t>E. 6</w:t>
      </w:r>
    </w:p>
    <w:p>
      <w:r>
        <w:t>En signant la convention du 10 mars 2018, les parties ont admis que la modification de la situation financière de l'intimée justifiait une nouvelle réglementation et se sont accordées sur une diminution de la contribution en sa faveur.</w:t>
      </w:r>
    </w:p>
    <w:p>
      <w:r>
        <w:t>Les parties divergeant d'opinion sur la portée de cette convention (dont l'intimée renonce à remettre en cause la validité en appel) et aucun élément n'ayant été fourni sur la teneur des négociations ayant précédé sa signature, le Tribunal a retenu avec raison que la commune et réelle intention des parties ne pouvait être déterminée, partant, qu'il y avait lieu de recourir à l'interprétation objective de l'accord (art. 18 CO). De ce point de vue, et à rigueur de texte, la convention prévoit une réduction de la contribution d'entretien en faveur de l'intimée à 1'500 fr., et non sa suppression totale. De même, l'intimée déclare renoncer à la</w:t>
      </w:r>
    </w:p>
    <w:p>
      <w:r>
        <w:t>- 10/11 -</w:t>
      </w:r>
    </w:p>
    <w:p>
      <w:r>
        <w:t>C/14001/2017 moitié de l'arriéré. Ces éléments de texte permettaient au premier juge de retenir que la convention ne pouvait être comprise par les parties que dans le sens d'une réduction de moitié de la contribution mensuelle en faveur de l'intimée (soit de 3'000 fr. à 1'500 fr.) ainsi que de l'arriéré en sa faveur (soit de 30'000 fr. à 15'000 fr.), la différence étant versée par l'appelant à ses deux enfants par moitié. A cela s'ajoute qu'il peut être inféré de l'engagement pris par l'appelant en décembre 2015, et alors qu'il savait que l'intimée disposait d'une fortune d'environ 1'000'000 fr. à son dire, qu'il estimait alors le montant de 3'000 fr. adéquat compte tenu de ses propres revenus, et qu'il ne fait pas état d'une dégradation de sa situation financière personnelle depuis lors. La réduction de la contribution en faveur de l'épouse à 1'500 fr. par mois trouve ainsi sa justification économique dans l'amélioration de la situation financière de l'épouse. Ce qui précède conduit à la confirmation du chiffre 1 de l'ordonnance attaquée.</w:t>
      </w:r>
    </w:p>
    <w:p>
      <w:r>
        <w:rPr>
          <w:b/>
        </w:rPr>
        <w:t>E. 7</w:t>
      </w:r>
    </w:p>
    <w:p>
      <w:r>
        <w:t>Le premier juge a renvoyé le sort des frais de première instance à la décision finale. Cette solution, conforme à l'art. 104 al. 1 CPC, peut être confirmée.</w:t>
      </w:r>
    </w:p>
    <w:p>
      <w:r>
        <w:t>Les frais judiciaires d'appel arrêtés à 800 fr., sont compensés par l'avance de frais de même montant versée par l'appelant, laquelle reste acquise à l'Etat de Genève (art. 111 al. 1 CPC). Compte tenu de la nature familiale du litige (art. 107 al. 1 let. c CPC), ils seront mis à la charge de chaque époux par moitié, l'intimée étant en conséquence condamnée à verser 400 fr. à l'appelant de ce chef. Chaque partie supportera enfin ses propres dépens. * * * * *</w:t>
      </w:r>
    </w:p>
    <w:p>
      <w:r>
        <w:t>- 11/11 -</w:t>
      </w:r>
    </w:p>
    <w:p>
      <w:r>
        <w:t>C/14001/2017 PAR CES MOTIFS, La Chambre civile : A la forme : Déclare recevable l'appel interjeté le 18 juin 2018 par A______ contre l'ordonnance OTPI/389/2018, rendue le 15 juin 2018 par le Tribunal de première instance dans la cause C/14001/2017-9. Au fond : Confirme ladite ordonnance. Déboute les parties de toutes autres conclusions. Sur les frais : Arrête les frais judiciaires d'appel à 800 fr., les met à hauteur de 400 fr. à la charge de A______ et de 400 fr. à la charge de B______ et dit qu'ils sont compensés par l'avance de frais de 800 fr. versée par A______, laquelle est acquise à l'Etat de Genève. Condamne B______ à verser 400 fr. à A______. Dit que chaque partie supporte ses propres dépens d'appel. Siégeant : Madame Jocelyne DEVILLE-CHAVANNE, présidente; Madame Nathalie LANDRY- BARTHE, juge; Madame Marguerite JACOT-DES-COMBES, juge suppléante;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