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ACJC/164/2020 vom 25. September 2019</w:t>
      </w:r>
    </w:p>
    <w:p>
      <w:r>
        <w:t>GE Cour de justice, 2019-09-25, FR</w:t>
      </w:r>
    </w:p>
    <w:p>
      <w:r>
        <w:rPr>
          <w:b/>
        </w:rPr>
        <w:t xml:space="preserve">Quelle: </w:t>
      </w:r>
      <w:r>
        <w:t>https://mcp.opencaselaw.ch/entscheid/ge_gerichte_ACJC_164_2020</w:t>
      </w:r>
    </w:p>
    <w:p>
      <w:r>
        <w:t>FR: GE_GERICHTE ACJC/164/2020 du 25 septembre 2019</w:t>
      </w:r>
    </w:p>
    <w:p>
      <w:r>
        <w:t>IT: GE_GERICHTE ACJC/164/2020 del 25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rPr>
          <w:b/>
        </w:rPr>
        <w:t>E. 1.2</w:t>
      </w:r>
    </w:p>
    <w:p>
      <w:r>
        <w:t>En l'espèce, l'ordonnance entreprise constitue à la fois une ordonnance d'instruction, en tant qu'elle fixe un délai de réponse à l'intimée, et une décision finale, en tant qu'elle déclare irrecevables les conclusions subsidiaires en baisse de loyer formées par la recourante.</w:t>
      </w:r>
    </w:p>
    <w:p>
      <w:r>
        <w:t>- 4/9 -</w:t>
      </w:r>
    </w:p>
    <w:p>
      <w:r>
        <w:t>C/16205/2018 En première instance, la recourante a conclu à ce que le loyer soit baissé de 15,25% dès le 1er décembre 2018, soit durant la prolongation du bail, dont l'échéance maximale, de quatre ans, serait le 31 décembre 2022. La valeur litigieuse s'élève ainsi à 8'206 fr. arrondis (13'452 fr. x 15,25% = 2'051 fr. 43 x 4 ans = 8'205 fr. 72). Par conséquent, seule la voie du recours est ouverte contre la décision finale.</w:t>
      </w:r>
    </w:p>
    <w:p>
      <w:r>
        <w:rPr>
          <w:b/>
        </w:rPr>
        <w:t>E. 1.3</w:t>
      </w:r>
    </w:p>
    <w:p>
      <w:r>
        <w:t>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(ACJC/420/2019 du 19 mars 2019 consid. 1.2; ACJC/1823/2018 du 18 décembre 2018). Il convient ainsi d'examiner si la condition du préjudice difficilement réparable est remplie pour admettre la recevabilité du recours. Cette condition sera examinée sous considérant 3 ci-après.</w:t>
      </w:r>
    </w:p>
    <w:p>
      <w:r>
        <w:rPr>
          <w:b/>
        </w:rPr>
        <w:t>E. 2</w:t>
      </w:r>
    </w:p>
    <w:p>
      <w:r>
        <w:t>La recourante reproche au Tribunal d'avoir violé son droit d'être entendue, d'une part en raison de l'insuffisance de motivation de l'ordonnance entreprise, et, d'autre part, de ce qu'elle n'a pas pu se déterminer sur la recevabilité de sa conclusion nouvelle, avant qu'une décision ne soit rendue.</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w:t>
      </w:r>
    </w:p>
    <w:p>
      <w:r>
        <w:t>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w:t>
      </w:r>
    </w:p>
    <w:p>
      <w:r>
        <w:t>- 5/9 -</w:t>
      </w:r>
    </w:p>
    <w:p>
      <w:r>
        <w:t>C/16205/2018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w:t>
      </w:r>
    </w:p>
    <w:p>
      <w:r>
        <w:rPr>
          <w:b/>
        </w:rPr>
        <w:t>E.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2ème éd. 2019, n. 7 ad art. 238 CPC et n. 18 ad art. 239 CPC).</w:t>
      </w:r>
    </w:p>
    <w:p>
      <w:r>
        <w:t>- 6/9 -</w:t>
      </w:r>
    </w:p>
    <w:p>
      <w:r>
        <w:t>C/16205/2018</w:t>
      </w:r>
    </w:p>
    <w:p>
      <w:r>
        <w:rPr>
          <w:b/>
        </w:rPr>
        <w:t>E. 2.3</w:t>
      </w:r>
    </w:p>
    <w:p>
      <w:r>
        <w:t>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w:t>
      </w:r>
    </w:p>
    <w:p>
      <w:r>
        <w:rPr>
          <w:b/>
        </w:rPr>
        <w:t>E. 2.4</w:t>
      </w:r>
    </w:p>
    <w:p>
      <w:r>
        <w:t>Les conclusions de la demande doivent correspondre à celles mentionnées dans l'autorisation de procéder et ne peuvent s'en écarter qu'aux conditions de l'art. 227 CPC (arrêt du Tribunal fédéral 5A_588/2015 du 9 février 2016 consid. 4.3.1).</w:t>
      </w:r>
    </w:p>
    <w:p>
      <w:r>
        <w:t>- 7/9 -</w:t>
      </w:r>
    </w:p>
    <w:p>
      <w:r>
        <w:t>C/16205/2018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w:t>
      </w:r>
    </w:p>
    <w:p>
      <w:r>
        <w:rPr>
          <w:b/>
        </w:rPr>
        <w:t>E. 2.5</w:t>
      </w:r>
    </w:p>
    <w:p>
      <w:r>
        <w:t>En l'occurrence, le Tribunal a tenu une audience de débats. A cette occasion, il n'a pas abordé la question de la recevabilité des conclusions prises par la recourante,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la recourante. Par ailleurs, sa décision ne comporte aucune motivation permettant de comprendre pour quel motif il a décidé de déclarer irrecevable ladite conclusion. Le Tribunal a ainsi également violé le droit d'être entendue de la recourante.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w:t>
      </w:r>
    </w:p>
    <w:p>
      <w:r>
        <w:rPr>
          <w:b/>
        </w:rPr>
        <w:t>E. 3</w:t>
      </w:r>
    </w:p>
    <w:p>
      <w:r>
        <w:t>Reste à examiner la recevabilité du recours formé contre l'ordonnance d'instruction fixant un délai de réponse.</w:t>
      </w:r>
    </w:p>
    <w:p>
      <w:r>
        <w:rPr>
          <w:b/>
        </w:rPr>
        <w:t>E. 3.1.1</w:t>
      </w:r>
    </w:p>
    <w:p>
      <w:r>
        <w:t>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w:t>
      </w:r>
    </w:p>
    <w:p>
      <w:r>
        <w:t>- 8/9 -</w:t>
      </w:r>
    </w:p>
    <w:p>
      <w:r>
        <w:t>C/16205/2018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3.1.2</w:t>
      </w:r>
    </w:p>
    <w:p>
      <w:r>
        <w:t>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3.2</w:t>
      </w:r>
    </w:p>
    <w:p>
      <w:r>
        <w:t>En l'espèce, compte tenu de la grave violation du droit d'être entendue de la recourante et dans la mesure où la décision entreprise a été rendue au commencement de la procédure, il apparaît disproportionné d'exiger de la recourante qu'elle attende le prononcé du jugement final pour se plaindre de la violation de son droit d'être entendue commise à peine la cause introduite. La condition du préjudice difficilement réparable est ainsi réalisée.</w:t>
      </w:r>
    </w:p>
    <w:p>
      <w:r>
        <w:rPr>
          <w:b/>
        </w:rPr>
        <w:t>E. 4</w:t>
      </w:r>
    </w:p>
    <w:p>
      <w:r>
        <w:t>L'ordonnance querellée sera dès lors annulée. Il reviendra au Tribunal de permettre aux parties de se déterminer sur la recevabilité de la conclusion subsidiaire en baisse de loyer, modifiant les conclusions initialement prises par la recourante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C/16205/2018 PAR CES MOTIFS, La Chambre des baux et loyers : A la forme : Déclare recevable le recours interjeté le 7 octobre 2019 par A______ contre l'ordonnance rendue le 25 septembre 2019 par le Tribunal des baux et loyers dans la cause C/16205/2018.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