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ACJC/1648/2023 vom 14. Dezember 2023</w:t>
      </w:r>
    </w:p>
    <w:p>
      <w:r>
        <w:t>GE Cour de justice, 2023-12-14, FR</w:t>
      </w:r>
    </w:p>
    <w:p>
      <w:r>
        <w:rPr>
          <w:b/>
        </w:rPr>
        <w:t xml:space="preserve">Quelle: </w:t>
      </w:r>
      <w:r>
        <w:t>https://mcp.opencaselaw.ch/entscheid/ge_gerichte_ACJC_1648_2023</w:t>
      </w:r>
    </w:p>
    <w:p>
      <w:r>
        <w:t>FR: GE_GERICHTE ACJC/1648/2023 du 14 décembre 2023</w:t>
      </w:r>
    </w:p>
    <w:p>
      <w:r>
        <w:t>IT: GE_GERICHTE ACJC/1648/2023 del 14 dicembre 2023</w:t>
      </w:r>
    </w:p>
    <w:p>
      <w:pPr>
        <w:pStyle w:val="Heading2"/>
      </w:pPr>
      <w:r>
        <w:t>Erwägungen</w:t>
      </w:r>
    </w:p>
    <w:p>
      <w:r>
        <w:rPr>
          <w:b/>
        </w:rPr>
        <w:t>E. 1.1</w:t>
      </w:r>
    </w:p>
    <w:p>
      <w:r>
        <w:t>En tant qu'il constate l'incompétence ratione loci du Tribunal, le jugement entrepris constitue une décision finale de première instance (art. 308 al. 1 let. a CPC; JEANDIN, Commentaire romand, Code de procédure civile, 2ème éd. 2019, n. 9 ad art. 308 CPC). La valeur litigieuse étant supérieure à 10'000 fr., la voie de l'appel est ouverte (art. 308 al. 2 CPC).</w:t>
      </w:r>
    </w:p>
    <w:p>
      <w:r>
        <w:rPr>
          <w:b/>
        </w:rPr>
        <w:t>E. 1.2</w:t>
      </w:r>
    </w:p>
    <w:p>
      <w:r>
        <w:t>Interjeté dans le délai utile de trente jours (art. 142 al. 1 et 3 et 311 al. 1 CPC), selon la forme prescrite par la loi (art. 130, 131 et 311 al. 1 et 2 CPC) et auprès de l'autorité compétente (art. 120 al. 1 let. a LOJ), l'appel est recevable sauf en tant qu'il vise la société G______ LTD, qui n'a plus de personnalité juridique dès lors qu'elle a été dissoute en 2021.</w:t>
      </w:r>
    </w:p>
    <w:p>
      <w:r>
        <w:rPr>
          <w:b/>
        </w:rPr>
        <w:t>E. 1.3</w:t>
      </w:r>
    </w:p>
    <w:p>
      <w:r>
        <w:t>La Cour revoit la cause en fait et en droit avec un plein pouvoir d’examen (art. 310 CPC).</w:t>
      </w:r>
    </w:p>
    <w:p>
      <w:r>
        <w:rPr>
          <w:b/>
        </w:rPr>
        <w:t>E. 2</w:t>
      </w:r>
    </w:p>
    <w:p>
      <w:r>
        <w:t>Les parties ont produit des pièces nouvelles en 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l'extrait du Registre du commerce libanais datant du 21 octobre 2011 et sa traduction (n. 24), produits par l'appelante, concernent la société libanaise A______ SARL inscrite au Registre du commerce libanais depuis 1992, de sorte que ces pièces sont antérieures à la date à laquelle le Tribunal a gardé la cause à juger et auraient pu être produites devant le premier juge. L'appelante, qui ne les a produites que tardivement, soit au stade de sa réplique devant la Cour, n'expose pas les motifs qui l'auraient empêchée de les produire en première instance, de sorte que ces pièces sont irrecevables. Il en va de même de l'extrait actualisé au 27 juin 2023 de ces pièces, adressé à la Cour le 3 juillet 2023, de même que les faits qui s'y rapportent. Les échanges de SMS produits par l'appelante (n. 25), datant de 2015, auraient également pu être produits avant que le Tribunal ne garde la cause à juger, de sorte qu'ils sont irrecevables. Il en va de même, pour les mêmes motifs, de l'extrait LinkedIn de A______ SA (n. 12) produit par les intimés, de même que les faits qui s'y rapportent.</w:t>
      </w:r>
    </w:p>
    <w:p>
      <w:r>
        <w:rPr>
          <w:b/>
        </w:rPr>
        <w:t>E. 3</w:t>
      </w:r>
    </w:p>
    <w:p>
      <w:r>
        <w:t>L'appelante reproche au premier juge d'avoir violé son droit à la preuve en refusant d'auditionner I______ et H______ en qualité de témoins. Elle sollicite que la Cour procède à l'administration de ces preuves.</w:t>
      </w:r>
    </w:p>
    <w:p>
      <w:r>
        <w:t>- 9/16 -</w:t>
      </w:r>
    </w:p>
    <w:p>
      <w:r>
        <w:t>C/4812/2020 3.1.1 Le droit à la preuve est une composante du droit d'être entendu garanti par l'art. 29 al. 2 Cst.; il se déduit également de l'art. 8 CC et trouve une consécration expresse à l'art. 152 CPC (ATF 143 III 297 consid. 9.3.2; arrêt du Tribunal fédéral 5A_793/2020 du 24 février 2021 consid. 4.1). Il implique que toute personne a droit, pour établir un fait pertinent contesté, de faire administrer les moyens de preuve adéquats, pour autant qu'ils aient été proposés régulièrement et en temps utile (ATF 144 II 427 consid. 3.1; 143 III 297 consid. 9.3.2).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 Le droit à la preuve ne régit pas l'appréciation des preuves (ATF 131 III 222 consid. 4.3 p. 226), ni n'exclut l'appréciation anticipée des preuves (ATF 138 III 374 consid. 4.3.1 p. 376 et les arrêts cités; arrêt du Tribunal fédéral 4D_3/2020 du 28 août 2020 consid. 4.1). Le droit à la preuve n’existe que s’il s’agit d’établir un fait pertinent, qui n’est pas déjà prouvé, par une mesure probatoire adéquate (ATF 135 I 187 consid. 2.2; 133 III 295 consid. 7.1, SJ 2007 I 513; arrêts du Tribunal fédéral 5A_763/2018 du 1er juillet 2019 consid. 2.1.1.1 et 2C_545/2014 du 9 janvier 2015 consid. 3.1 et les références citées).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 145 I 167 consid. 4.1; 143 III 297 consid. 9.3.2; 140 I 285 consid. 6.3.1). En cas d'appréciation anticipée des preuves, il doit au moins implicitement en ressortir les raisons pour lesquelles le tribunal dénie toute importance ou pertinence aux moyens de preuve qu'il n'administre pas. Le fait que le tribunal ne se prononce ni expressément, ni implicitement sur les réquisitions tendant à l'interrogatoire des parties et l'audition de témoins viole en effet le droit constitutionnel des parties à l'examen de leurs réquisitions et à une motivation (art. 29 al. 2 Cst.; ATF 114 II 289 consid. 2b, JdT 1989 I 84; arrêt du Tribunal fédéral 5A_304/2014 du 13 octobre 2014 consid. 3.3 ss).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w:t>
      </w:r>
    </w:p>
    <w:p>
      <w:r>
        <w:t>- 10/16 -</w:t>
      </w:r>
    </w:p>
    <w:p>
      <w:r>
        <w:t>C/4812/2020 recueillis, il a fait des déductions insoutenables (ATF 137 III 226 consid. 4.2; 136 III 552 consid. 4.2; 134 V 53 consid. 4.3; 133 II 249 consid. 1.4.3; 129 I 8 consid. 2.1). Il ne suffit pas qu'une appréciation différente puisse être tenue pour également concevable, ou apparaisse même préférable (ATF 144 I 170 consid. 7.3; 142 II 369 consid. 4.3; 140 III 167 consid. 2.1; arrêt du Tribunal fédéral 4D_64/2021 du 8 décembre 2021 consid. 2.2). 3.1.2 Selon l'art. 316 al. 3 CPC, l'instance d'appel peut administrer les preuves. Si l'instance d'appel peut librement décider d'administrer des preuves en vertu de l'art. 316 al. 3 CPC, cette disposition ne confère pas au justiciable un droit à la réouverture de la procédure probatoire et à l'administration de preuves (arrêt du Tribunal fédéral 5A_505/2021 du 29 août 2022 consid. 3.3.2). Elle peut 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op. cit., n. 4 et 5 ad art. 319 CPC). 3.1.3 Les personnes morales exercent leur capacité d'ester en justice par l'entremise de leurs organes statutaires (art. 55 al. 1 CC; ATF 141 III 80 consid. 1.3). Selon l'art. 159 CPC, lorsqu’une personne morale est partie au procès, ses organes sont traités comme une partie dans la procédure d’administration des preuves.</w:t>
      </w:r>
    </w:p>
    <w:p>
      <w:r>
        <w:rPr>
          <w:b/>
        </w:rPr>
        <w:t>E. 3.2</w:t>
      </w:r>
    </w:p>
    <w:p>
      <w:r>
        <w:t>En l'espèce, le refus du Tribunal d'auditionner I______ et H______ n'est pas critiquable. Le Tribunal a considéré, ce qu'il a expliqué dans sa décision de manière claire, que l'audition de ces personnes, ne serait pas susceptible de modifier sa décision, au vu des titres qui avaient été versés à la procédure, suffisamment pertinents pour régler la question de sa compétence ratione loci. Il a ainsi procédé à une juste appréciation anticipée des preuves, dès lors que les preuves qu'il a administrées, soit l'examen des trois propositions, des factures et des échanges de courriels, étaient suffisantes pour se forger une conviction quant au lieu d'exécution de la prestation caractéristique (cf. consid. 4 ci-dessous), de sorte que l'interrogatoire des administrateurs de l'appelante n'était pas nécessaire pour trancher cette question. De plus, I______ et H______, tous deux administrateurs de A______ SA, ne revêtent pas la qualité de témoins mais d'organes de la société appelante. Ainsi, leur audition n'était pas susceptible d'apporter une preuve déterminante de nature à pouvoir modifier l'opinion du Tribunal, au regard des pièces produites, suffisantes à cet égard.</w:t>
      </w:r>
    </w:p>
    <w:p>
      <w:r>
        <w:t>- 11/16 -</w:t>
      </w:r>
    </w:p>
    <w:p>
      <w:r>
        <w:t>C/4812/2020 En tout état, l'appelante n'indique pas en quoi les éventuelles déclarations de ses administrateurs seraient propres à prouver que les prestations contractuelles auraient été exécutées à Genève, ni dans quelle mesure elles pourraient apporter des informations non déjà contenues dans ses allégations. Au vu de ce qui précède, le grief de nature formelle invoqué par l’appelante, tiré de la violation de son droit à la preuve, doit être rejeté. Il n'y a de même, et pour les mêmes motifs, pas lieu de procéder à l'administration de ces preuves devant la Cour.</w:t>
      </w:r>
    </w:p>
    <w:p>
      <w:r>
        <w:rPr>
          <w:b/>
        </w:rPr>
        <w:t>E. 4</w:t>
      </w:r>
    </w:p>
    <w:p>
      <w:r>
        <w:t>Dans un second grief, l'appelante reproche au Tribunal d'avoir déclaré sa demande irrecevable, faute de compétence ratione loci. Elle soutient que Genève constitue le lieu d'exécution effective de la prestation caractéristique des contrats conclus entre les parties. 4.1.1 Dans les causes de nature internationale, l'art. 2 CPC prévoit que les traités internationaux et la loi fédérale sur le droit international privé du 18 décembre 1987 (LDIP; RS 291) sont réservés. Une cause est de nature internationale lorsqu'elle a une connexité suffisante avec l'étranger, ce qui est toujours le cas lorsque l'une des parties possède son domicile ou son siège à l'étranger, peu importe que ce soit le demandeur ou le défendeur, et indépendamment de la nature de la cause (ATF 141 III 294 consid. 4; arrêt du Tribunal fédéral 4A_573/2015 du 3 mai 2016 consid. 3). En l'espèce, la cause est de nature internationale puisque les intimés sont domiciliés, respectivement, au Congo et au Gabon. 4.1.2 En l'absence de traité international applicable (art. 1 al. 2 LDIP), la compétence des tribunaux genevois doit être déterminée en application de la LDIP (art. 1 al. 1 let. a LDIP). 4.1.3 En matière contractuelle, la compétence générale des tribunaux suisses est régie par les art. 112 ss LDIP. L'art. 112 LDIP prévoit la compétence des tribunaux suisses du domicile ou, à défaut de domicile, ceux de la résidence habituelle du défendeur, pour connaître des actions découlant d'un contrat. Selon l'art. 113 LDIP, lorsque la prestation caractéristique du contrat doit être exécutée en Suisse, l'action peut aussi être portée devant le tribunal suisse du lieu où elle doit être exécutée. Selon l'art. 117 al. 3 let. c LDIP, relatif au droit applicable au contrat, la prestation caractéristique correspond à la prestation de service dans le mandat, le contrat</w:t>
      </w:r>
    </w:p>
    <w:p>
      <w:r>
        <w:t>- 12/16 -</w:t>
      </w:r>
    </w:p>
    <w:p>
      <w:r>
        <w:t>C/4812/2020 d’entreprise et d’autres contrats de prestation de service. La notion de prestation caractéristique retenue à l'art. 117 al. 3 LDIP est aussi déterminante pour l'art. 113 LDIP (arrêt du Tribunal fédéral 4A_98/2016 du 22 août 2016 consid. 6.1 et les références citées; BONOMI, CR LDIP - CL, 2011, n. 14 ad art. 113 LDIP). En présence de plusieurs prestations contractuelles caractéristiques, comme c'est le cas d'un contrat prévoyant la planification et la direction de travaux de construction d'immeubles par un architecte, le Tribunal fédéral a retenu que le lieu d'exécution de chacune de ces prestations peut constituer un for. Il a toutefois laissé ouverte la question de savoir si la compétence appartient uniquement à la juridiction du lieu d'exécution de la prestation caractéristique qui sert de base à la demande ou si un for doit être admis au lieu d'exécution de chaque prestation caractéristique (ATF 145 III 190 consid. 3.3, 4.2 et 4.3). S'agissant du lieu d'exécution de la prestation caractéristique, si la prestation caractéristique a été exécutée, en tout ou en partie, le lieu de l'exécution effective est déterminant, même s'il ne correspond pas à l'accord des parties ou à la loi dans la mesure où le créancier a reçu la prestation sans contester (arrêt du Tribunal fédéral 4A_573/2015 du 3 mai 2016 consid.6.2; BONOMI, op. cit., n. 25 ad art. 113 LDIP).</w:t>
      </w:r>
    </w:p>
    <w:p>
      <w:r>
        <w:rPr>
          <w:b/>
        </w:rPr>
        <w:t>E. 4.2</w:t>
      </w:r>
    </w:p>
    <w:p>
      <w:r>
        <w:t>En l'espèce, il convient d'emblée de relever que les parties ne contestent pas l'appréciation du Tribunal selon laquelle la prestation caractéristique fondant la demande de l'appelante est la conception et les études architecturales des trois projets d'immeuble, de sorte qu'il n'y a pas lieu de revenir sur ce point. Il en va de même de la détermination du lieu d'exécution de la prestation caractéristique selon la méthode du lieu d'exécution effective choisie par le Tribunal, non remise en cause en appel. Les parties ont un avis divergent sur le lieu de l'exécution effective du contrat, l'appelante prétendant que le lieu d'exécution était Genève, ce que les intimées contestent. L'appelante, inscrite au Registre du commerce genevois en ______ 2013, n'existait pas au moment de la conclusion des trois contrats en 2011 et 2012. Elle allègue toutefois qu'elle était alors en constitution et que, conformément à l'accord des parties, c'est bien elle qui a réalisé les projets d'immeubles à son siège à Genève, par l'un de ses administrateurs, soit H______. Ces allégations ne sont toutefois corroborées par aucun élément du dossier. En effet, l'appelante n'est pas mentionnée sur les trois propositions de contrat, ni sur aucune des factures produites, ni dans aucun des échanges de courriels relatifs aux études architecturales, pas plus que son siège à Genève, étant précisé, comme l'a justement relevé le Tribunal, que l'adresse genevoise figurant sur le bas de deux</w:t>
      </w:r>
    </w:p>
    <w:p>
      <w:r>
        <w:t>- 13/16 -</w:t>
      </w:r>
    </w:p>
    <w:p>
      <w:r>
        <w:t>C/4812/2020 des propositions ne correspond pas au siège de l'appelante, qui n'a pas indiqué à quoi elle correspondait. Le Tribunal a, en outre, correctement relevé que les trois propositions de contrat avaient été établies à J______, tout comme les factures produites, y compris celles établies après l'inscription de l'appelante au Registre du commerce genevois. La plupart des factures sont d'ailleurs antérieures à la constitution de l'appelante, ce qui corrobore encore le fait que les prestations n'ont pas pu être exécutées à Genève. Le premier juge a aussi justement considéré que les coordonnées bancaires figurant sur les factures envoyées aux intimés indiquent des comptes bancaires au Liban et au Congo, y compris pour les factures établies après l'inscription de l'appelante au Registre du commerce genevois. Tant les propositions de contrat que les factures mentionnent en bas de page une adresse au Liban qui correspond à l'adresse du groupe A______ dans ce pays. Qui plus est, cette adresse est située dans le même quartier que le siège de la société libanaise qui aurait cédé sa créance à l'appelante et qui a une raison sociale identique à celle-ci. A cet égard, la cession de créances, intervenue en décembre 2021, soit après la tentative de conciliation, ne prouve pas non plus que les prestations auraient été exécutées à Genève. Au contraire, elle indique que les contrats ont été conclus par "le groupe A______ à travers la société A______ SARL" au Liban. Elle démontre, en outre, que la société libanaise, qui a cédé la créance fondée sur les contrats litigieux à l'appelante, était la véritable créancière des versements, de sorte que cette cession ne peut modifier, quel qu'en soit son contenu, le véritable lieu d'exécution des prestations caractéristiques, afin de créer un for artificiel à Genève. Ainsi, aucun élément ne permet de retenir que l'appelante aurait repris et exécuté les contrats de 2011 et 2012 à Genève dès sa constitution en 2013, ce qu'a justement retenu le Tribunal. Les échanges de courriels relatifs à la réalisation des projets, dont la plupart ont eu lieu avant la constitution de l'appelante, démontrent que I______, qui est architecte, était l'interlocuteur des intimés et qu'il a personnellement travaillé sur les trois projets depuis le Liban où il est domicilié. Il était, en effet, en relation avec C______ à qui il soumettait les plans des projets d'immeubles et les avant-projets conformément à ce que prévoyait les contrats.</w:t>
      </w:r>
    </w:p>
    <w:p>
      <w:r>
        <w:t>- 14/16 -</w:t>
      </w:r>
    </w:p>
    <w:p>
      <w:r>
        <w:t>C/4812/2020 Qui plus est, dans un courriel de décembre 2015, I______ a clairement énoncé le lieu d'exécution des prestations en rappelant aux intimés qu'il avait choisi de réaliser les plans des trois projets au Liban afin de réduire les coûts. A l'inverse, aucun élément ne permet d'établir que H______ aurait réalisé les prestations contractuelles à Genève. En effet, le nom de celui-ci n'apparaît pas dans les communications avec les intimés, relatives à la réalisation des trois projets, mais seulement dans un courriel de 2016 – soit après la réalisation des prestations – en lien avec le recouvrement des créances y relatives, où il se présente comme membre du département du recouvrement de la société. Qui plus est, au contraire de son père, il n'est pas architecte de sorte que l'on voit mal comment il aurait eu les compétences nécessaires pour réaliser les études architecturales litigieuses. Enfin, contrairement à ce que fait valoir l'appelante, la reconnaissance de dette produite est impropre à prouver une exécution des prestations en Suisse, dans la mesure où elle est adressée à "A______ SA" sans aucune mention d'adresse. Par ailleurs, C______ s'adresse directement à I______ à qui elle reconnait avoir confié la réalisation des trois projets, ce qui appuie encore le fait que c'est celui-ci qui a réalisé les études architecturales au Liban. En définitive, Genève n'étant pas le lieu de l'exécution effective de la prestation caractéristique des contrats, la décision du Tribunal, qui s'est déclaré incompétent à raison du lieu et partant a déclaré la demande de l'appelante irrecevable, n'est pas critiquable. Le jugement entrepris sera donc confirmé.</w:t>
      </w:r>
    </w:p>
    <w:p>
      <w:r>
        <w:rPr>
          <w:b/>
        </w:rPr>
        <w:t>E. 5</w:t>
      </w:r>
    </w:p>
    <w:p>
      <w:r>
        <w:t>Les frais judiciaires de l'appel seront arrêtés à 6'000 fr. (art. 13 et 35 RTFMC) et mis à la charge de l'appelante qui succombe (art. 106 al. 1 CPC). Ils seront partiellement compensés avec l'avance de frais de 1'200 fr. opérée par cette dernière, laquelle reste acquise à l'Etat de Genève (art. 111 al. 1 CPC). L'appelante sera condamnée à verser 4'800 fr. à l'Etat de Genève, soit pour lui les Services financiers du Pouvoir judiciaire. L'appelante sera, par ailleurs, condamnée à s'acquitter des dépens d'appel des intimés, conjointement et solidairement, lesquels seront arrêtés à 4'980 fr. (art. 84, 85 et 90 RTFMC), débours inclus (art. 25 LaCC), sans TVA, compte tenu du domicile, respectivement du siège des intimés à l'étranger (ATF 141 IV 344 consid. 4.1). * * * * *</w:t>
      </w:r>
    </w:p>
    <w:p>
      <w:r>
        <w:t>- 15/16 -</w:t>
      </w:r>
    </w:p>
    <w:p>
      <w:r>
        <w:t>C/4812/2020 PAR CES MOTIFS, La Chambre civile : A la forme : Déclare irrecevable l'appel interjeté le 16 février 2023 par A______ SA contre le jugement JTPI/665/2023 rendu le 13 janvier 2023 par le Tribunal de première instance dans la cause C/4812/2020 en tant qu'il est dirigé contre G______ LTD. Déclare l'appel recevable pour le surplus. Au fond : Confirme ce jugement. Déboute les parties de toutes autres conclusions. Sur les frais : Arrête les frais judiciaires d'appel à 6'000 fr. et les met à la charge de A______ SA. Dit que ce montant est partiellement compensé avec l'avance de frais de 1'200 fr. versée par A______ SA, qui reste acquise à l'Etat de Genève. Condamne en conséquence A______ SA à verser 4'800 fr. à l'Etat de Genève, soit pour lui les Services financiers du Pouvoir judiciaire. Condamne A______ SA à verser 4'980 fr. à B______, C______, E______ et SCI F______, conjointement et solidairement, à titre de dépens d'appel. Siégeant : Madame Jocelyne DEVILLE-CHAVANNE, présidente; Madame Verena PEDRAZZINI RIZZI, Madame Nathalie LANDRY-BARTHE, juges; Madame Camille LESTEVEN, greffière.</w:t>
      </w:r>
    </w:p>
    <w:p>
      <w:r>
        <w:t>- 16/16 -</w:t>
      </w:r>
    </w:p>
    <w:p>
      <w:r>
        <w:t>C/4812/2020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