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ACJC/1648/2016 vom 16. Dezember 2016</w:t>
      </w:r>
    </w:p>
    <w:p>
      <w:r>
        <w:t>GE Cour de justice, 2016-12-16, FR</w:t>
      </w:r>
    </w:p>
    <w:p>
      <w:r>
        <w:rPr>
          <w:b/>
        </w:rPr>
        <w:t xml:space="preserve">Quelle: </w:t>
      </w:r>
      <w:r>
        <w:t>https://mcp.opencaselaw.ch/entscheid/ge_gerichte_ACJC_1648_2016</w:t>
      </w:r>
    </w:p>
    <w:p>
      <w:r>
        <w:t>FR: GE_GERICHTE ACJC/1648/2016 du 16 décembre 2016</w:t>
      </w:r>
    </w:p>
    <w:p>
      <w:r>
        <w:t>IT: GE_GERICHTE ACJC/1648/2016 del 16 dicembre 2016</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w:t>
      </w:r>
    </w:p>
    <w:p>
      <w:r>
        <w:t>- 4/10 -</w:t>
      </w:r>
    </w:p>
    <w:p>
      <w:r>
        <w:t>C/7334/2016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w:t>
      </w:r>
    </w:p>
    <w:p>
      <w:r>
        <w:rPr>
          <w:b/>
        </w:rPr>
        <w:t>E. 1.2</w:t>
      </w:r>
    </w:p>
    <w:p>
      <w:r>
        <w:t>Selon l'art. 321 al. 2 CPC, le recours doit être écrit et motivé.</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 HALDY/JEANDIN/ SCHWEIZER/TAPPY, Code de procédure civile commenté, Bâle, 2011n. 4 et 5 ad art. 321 CPC).</w:t>
      </w:r>
    </w:p>
    <w:p>
      <w:r>
        <w:t>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w:t>
      </w:r>
    </w:p>
    <w:p>
      <w:r>
        <w:t>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comprend qu'elle sollicite la mise à néant du jugement entrepris et le prononcé de la mainlevée définitive de l'opposition formée au commandement de payer.</w:t>
      </w:r>
    </w:p>
    <w:p>
      <w:r>
        <w:rPr>
          <w:b/>
        </w:rPr>
        <w:t>E. 1.3</w:t>
      </w:r>
    </w:p>
    <w:p>
      <w:r>
        <w:t>Le recours est ainsi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w:t>
      </w:r>
    </w:p>
    <w:p>
      <w:r>
        <w:t>- 5/10 -</w:t>
      </w:r>
    </w:p>
    <w:p>
      <w:r>
        <w:t>C/7334/2016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3.1</w:t>
      </w:r>
    </w:p>
    <w:p>
      <w:r>
        <w:t>Aux termes de l'art. 80 al. 1 LP, le créancier qui est au bénéfice d'un jugement exécutoire peut requérir du juge la mainlevée définitive de l'opposition. Le jugement doit être exécutoire,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3.2</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w:t>
      </w:r>
    </w:p>
    <w:p>
      <w:r>
        <w:t>- 6/10 -</w:t>
      </w:r>
    </w:p>
    <w:p>
      <w:r>
        <w:t>C/7334/2016 de par la loi, a un effet suspensif (ATF 131 III 404 consid. 3; 131 III 87 consid. 3.2).</w:t>
      </w:r>
    </w:p>
    <w:p>
      <w:r>
        <w:t>Selon l'art. 336 CPC, une décision est exécutoire lorsqu'elle est entrée en force et que le Tribunal n'a pas suspendu l'exécution (al. 1 let. a) et lorsqu'elle n'est pas encore entrée en force mais que son exécution anticipée a été prononcée (al. 1 let. b). Le tribunal qui a rendu la décision à exécuter en atteste sur demande le caractère exécutoire (al. 2).</w:t>
      </w:r>
    </w:p>
    <w:p>
      <w:r>
        <w:t>A l'instar de ce qui prévalait avant l'entrée en vigueur du CPC, l'attestation du caractère exécutoire du jugement, ne possède qu'une valeur déclarative et sert avant tout de moyen de preuve, l'attestation faisant présumer le caractère exécutoire de la sentence (JEANDIN, in Code de procédure civile commenté, Bohnet/Haldy/Jeandin/ Schweizer/Tappy [éd.], 2011, n. 9 ad art. 336 CPC; STAEHELIN, op. cit., n. 17 ad art. 80 LP).</w:t>
      </w:r>
    </w:p>
    <w:p>
      <w:r>
        <w:t>En matière de mainlevée, la production d'une telle attestation n'est que facultative, le caractère exécutoire de la décision pouvant être démontré d'une autre manière, par exemple lorsqu'il ressort des circonstances que le poursuivi n'a pas contesté le caractère exécutoire du jugement ou qu'il n'avait aucun motif de le contester ou encore que plusieurs années se sont écoulées depuis la communication de la décision (STAEHELIN, op. cit., n. 55 ad art. 80 LP). Sont assimilés à des jugements les décisions des autorités administratives suisses (art. 80 al. 2 ch. 2 LP).</w:t>
      </w:r>
    </w:p>
    <w:p>
      <w:r>
        <w:rPr>
          <w:b/>
        </w:rPr>
        <w:t>E. 3.3</w:t>
      </w:r>
    </w:p>
    <w:p>
      <w:r>
        <w:t>A teneur de l'art. 12 al. 2 de la Loi fédérale du 20 décembre 1946 sur l'assurance-vieillesse et survivants (LAVS - RS 831.10), sont tenus de payer des cotisations tous les employeurs ayant un établissement stable en Suisse ou occupant dans leur ménage des personnes obligatoirement assurées.</w:t>
      </w:r>
    </w:p>
    <w:p>
      <w:r>
        <w:t>Les cotisations sont payées à la caisse par les employeurs par trimestre lorsque la masse salariale n'excède pas 200'000 fr. par an (art. 34 al. 1 let. a RAVS).</w:t>
      </w:r>
    </w:p>
    <w:p>
      <w:r>
        <w:t>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w:t>
      </w:r>
    </w:p>
    <w:p>
      <w:r>
        <w:t>L'art. 35 RAVS prévoit que pendant l'année, les employeurs doivent verser périodiquement des acomptes de cotisations. Pour fixer les acomptes, la caisse de compensation se base sur la masse salariale probable (al. 1). Les employeurs sont tenus d'informer la caisse de compensation chaque fois que la masse salariale varie sensiblement en cours d'année (al. 2).</w:t>
      </w:r>
    </w:p>
    <w:p>
      <w:r>
        <w:t>- 7/10 -</w:t>
      </w:r>
    </w:p>
    <w:p>
      <w:r>
        <w:t>C/7334/2016</w:t>
      </w:r>
    </w:p>
    <w:p>
      <w:r>
        <w:t>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de la Loi fédérale du 6 octobre 2000 sur la partie générale du droit des assurances sociales (LPGA - RS 830.1)</w:t>
      </w:r>
    </w:p>
    <w:p>
      <w:r>
        <w:t>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 (art. 54 al. 2 LPGA).</w:t>
      </w:r>
    </w:p>
    <w:p>
      <w:r>
        <w:t>Selon la jurisprudence constante du Tribunal fédéral, la preuve de la notification d'un acte peut résulter de l'ensemble des circonstances, en particulier de l'absence de réaction de l'intéressé, qui non seulement ne conteste pas lors de l'audience de mainlevée avoir reçu la décision à l'origine de la poursuite, mais fait défaut à cette audience, admet implicitement avoir reçu la décision en question (arrêts du Tribunal fédéral 5A_339/2011 du 26 août 2011 consid. 3; 5D_173/2008 du 20 février 2009 consid. 5.1).</w:t>
      </w:r>
    </w:p>
    <w:p>
      <w:r>
        <w:rPr>
          <w:b/>
        </w:rPr>
        <w:t>E. 3.4</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3.5</w:t>
      </w:r>
    </w:p>
    <w:p>
      <w:r>
        <w:t>Dans le présent cas, la recourante a notifié une décision de cotisation à l'intimée, le 17 juin 2014, portant sur 2'012 fr. 20, puis, alors que le délai pour former opposition à ladite décision était échu, une sommation de payer, les cotisations n'ayant pas été acquittées. Ces décisions ont été adressées à l'intimée à l'adresse de son siège. Conformément à la jurisprudence rappelée ci-avant, il sera retenu que l'intimée a implicitement admis avoir reçu ladite décision, dès lors qu'elle n'a pas contesté que tel soit le cas et qu'elle a fait défaut à l'audience du Tribunal. Par ailleurs, il ne résulte pas des titres versés à la procédure que l'intimée a formé opposition à la décision du 17 juin 2014, de sorte que celle-ci est définitive et exécutoire. Conformément aux art. 80 LP et 54 LPGA, la décision de cotisation constitue un titre de mainlevée définitive. L'absence de production d'une attestation du caractère exécutoire ne modifie pas cette appréciation. C'est par conséquent à tort que le Tribunal a retenu qu'une telle mention était nécessaire.</w:t>
      </w:r>
    </w:p>
    <w:p>
      <w:r>
        <w:t>En ce qui concerne les montants en poursuite, la recourante a sollicité le prononcé de la mainlevée pour 2'012 fr. 20 avec intérêts à 5% dès le 3 décembre 2015, 50 fr., 75 fr. 75, 36 fr. 90 et 143 fr. 10. La somme de 2'012 fr. 20 repose sur les cotisations dues pour le second trimestre de l'année 2014. La recourante était</w:t>
      </w:r>
    </w:p>
    <w:p>
      <w:r>
        <w:t>- 8/10 -</w:t>
      </w:r>
    </w:p>
    <w:p>
      <w:r>
        <w:t>C/7334/2016 fondée à réclamer des frais de sommation, de 50 fr., tels que prévus par l'art. 34a RAVS, ainsi que des intérêts moratoires (et intérêts de retard).</w:t>
      </w:r>
    </w:p>
    <w:p>
      <w:r>
        <w:t>Le cumul des intérêts et intérêts moratoires n'est pas contraire à l'interdiction de l'anatocisme (art. 105 al. 3 CO), dès lors que le montant des intérêts n'est pas incorporé à celui de la dette principale, et que les intérêts à 5% ont été demandés pour la période postérieure, soit dès le 3 décembre 2015.</w:t>
      </w:r>
    </w:p>
    <w:p>
      <w:r>
        <w:t>En revanche, il sera rappelé que les frais du commandement de payer suivent le sort de la poursuite (art. 68 al. 1 LP), de sorte qu'ils ne font pas l'objet de la mainlevée d'opposition.</w:t>
      </w:r>
    </w:p>
    <w:p>
      <w:r>
        <w:rPr>
          <w:b/>
        </w:rPr>
        <w:t>E. 3.6</w:t>
      </w:r>
    </w:p>
    <w:p>
      <w:r>
        <w:t>Dès lors, le recours sera admis dans les limites de ce qui précède. L'affaire étant en état d'être jugée, il sera statué à nouveau (art. 327 al. 3 let. b CPC), dans le sens que la mainlevée définitive sera prononcée à concurrence de 2'012 fr. 20 avec intérêts à 5% dès le 3 décembre 2015, de 50 fr., de 36 fr. 90 et de 143 fr. 10. 4. L'intimée, qui succombe, sera condamnée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l'intimée, compensé avec l'avance de frais du même montant fournie par la recourante, acquise à l'Etat (art. 111 al. 1 CPC). L'intimée sera en conséquence condamnée à verser la somme de 500 fr. à titre de remboursement des avances de frais à la recourante. Il ne sera pas alloué de dépens à la recourante qui comparaît en personne, les démarches effectuées ne le justifiant pas (art. 95 al. 3 let. c CPC a contrario). 5. La valeur litigieuse, au sens de l'art. 51 LTF, est inférieure à 30'000 fr. * * * * *</w:t>
      </w:r>
    </w:p>
    <w:p>
      <w:r>
        <w:t>- 9/10 -</w:t>
      </w:r>
    </w:p>
    <w:p>
      <w:r>
        <w:t>C/7334/2016 PAR CES MOTIFS, La Chambre civile : A la forme : Déclare recevable le recours interjeté le 9 septembre 2016 par A______ contre le jugement JTPI/10174/2016 rendu le 15 août 2016 par le Tribunal de première instance dans la cause C/7334/2016-11 SML. Au fond : Annule ce jugement. Cela fait et statuant à nouveau : Prononce la mainlevée définitive de l'opposition formée au commandement de payer, poursuite 2______ à concurrence de de 2'012 fr. 20 avec intérêts à 5% dès le 3 décembre 2015, de 50 fr., de 36 fr. 90 et de 143 fr. 10. Déboute les parties de toutes autres conclusions. Sur les frais de première instance et de recours : Arrête les frais judiciaires des deux instances à 500 fr., compensés avec les avances de frais fournies, lesquelles demeurent acquises à l'Etat de Genève, et les met à la charge de B______. Condamne en conséquence B______ à verser 500 fr. à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- 10/10 -</w:t>
      </w:r>
    </w:p>
    <w:p>
      <w:r>
        <w:t>C/7334/2016 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1998, n. 37 ad art. 80 LP).</w:t>
      </w:r>
    </w:p>
    <w:p>
      <w:r>
        <w:t>Le juge de la mainlevée doit également examiner d'office non seulement l'existence d'un titre à la mainlevée définitive et son caractère exécutoire (ATF 139 III 444 consid. 4.1.1; GILLIERON, Commentaire de la loi fédérale sur la poursuite pour dettes et la faillite 1999 p. 1220 n. 22).</w:t>
      </w:r>
    </w:p>
    <w:p>
      <w:r>
        <w:t>Dans le cadre de la procédure sommaire de mainlevée définitive, le juge n'a ni à revoir ni à interpréter le titre qui lui est soumis. Il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113 III consid.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