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ACJC/1646/2016 vom 17. Juni 2016</w:t>
      </w:r>
    </w:p>
    <w:p>
      <w:r>
        <w:t>GE Cour de justice, 2016-06-17, FR</w:t>
      </w:r>
    </w:p>
    <w:p>
      <w:r>
        <w:rPr>
          <w:b/>
        </w:rPr>
        <w:t xml:space="preserve">Quelle: </w:t>
      </w:r>
      <w:r>
        <w:t>https://mcp.opencaselaw.ch/entscheid/ge_gerichte_ACJC_1646_2016</w:t>
      </w:r>
    </w:p>
    <w:p>
      <w:r>
        <w:t>FR: GE_GERICHTE ACJC/1646/2016 du 17 juin 2016</w:t>
      </w:r>
    </w:p>
    <w:p>
      <w:r>
        <w:t>IT: GE_GERICHTE ACJC/1646/2016 del 17 giugno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En l'espèce le recours a été interjeté dans le délai et selon les formes prévus par la loi,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retenu que les pièces produites par l'intimée valaient reconnaissance de dette. Le recourant avait fait valoir que le crédit avait été obtenu sur la base de faux documents. L'intimée avait fourni des documents différents et conformes à la LCC. Le Tribunal n'avait aucun moyen de vérifier dans le cadre de la procédure de mainlevée lequel des documents produits était faux, de sorte qu'il considérait que le recourant n'avait fait valoir aucun moyen libératoire susceptible de faire échec au prononcé de la mainlevée.</w:t>
      </w:r>
    </w:p>
    <w:p>
      <w:r>
        <w:t>- 7/11 -</w:t>
      </w:r>
    </w:p>
    <w:p>
      <w:r>
        <w:t>C/2295/2016</w:t>
      </w:r>
    </w:p>
    <w:p>
      <w:r>
        <w:t>Le recourant soutient qu'il a rendu vraisemblable, par la production de ses fiches de salaire pour août et septembre 2010, que le crédit a été accordé sur la base de faux documents et sans vérification sérieuse de la part de l'intimée.</w:t>
      </w:r>
    </w:p>
    <w:p>
      <w:r>
        <w:rPr>
          <w:b/>
        </w:rPr>
        <w:t>E. 2.1</w:t>
      </w:r>
    </w:p>
    <w:p>
      <w:r>
        <w:t>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 WALDER/KULL/KOTTMANN, Bundesgesetz über Schuldbetreibung und Konkurs, 4ème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w:t>
      </w:r>
    </w:p>
    <w:p>
      <w:r>
        <w:t>- 8/11 -</w:t>
      </w:r>
    </w:p>
    <w:p>
      <w:r>
        <w:t>C/2295/2016 (ATF 136 III 627 consid. 2; arrêt du Tribunal fédéral 5A_465/2014 du 20 août 2014, consid. 7.2.1.2; 5A_326/2011 du 6 septembre 2011 consid. 3.2). Conformément à l'art. 82 al. 2 LP, le poursuivi peut faire échec à la mainlevée en rendant immédiatement vraisemblable ses moyens libératoires (ATF 132 III 140 consid. 4.1.1 et les références citées; arrêt du Tribunal fédéral 5A_878/2011 du</w:t>
      </w:r>
    </w:p>
    <w:p>
      <w:r>
        <w:rPr>
          <w:b/>
        </w:rPr>
        <w:t>E. 2.2</w:t>
      </w:r>
    </w:p>
    <w:p>
      <w:r>
        <w:t>Selon l'art. 1 al. 1 de la LCC dans sa version en vigueur en octobre 2010 (aLCC) le contrat de crédit à la consommation est un contrat en vertu duquel un prêteur consent un crédit à un consommateur sous la forme d'un délai de paiement, d'un prêt ou de toute autre facilité de paiement similaire. A teneur de l'article 28 aLCC, avant la conclusion du contrat, le prêteur doit vérifier, conformément à l'art. 31, que le consommateur a la capacité de contracter un crédit (al. 1). Le consommateur est réputé avoir la capacité précitée lorsqu'il peut rembourser ce crédit sans grever la part insaisissable de son revenu visée à l'art. 93 al. 1 LP (al. 2). L'art. 31 al. 1 aLCC prévoit quant à lui que le prêteur peut s'en tenir aux informations fournies par le consommateur sur ses sources de revenus et ses obligations financières. Font exception les informations manifestement fausses ou qui ne correspondent pas aux données fournies par le centre de renseignements (al. 2). Si le prêteur doute de l'exactitude des informations fournies par le consommateur, il en vérifie la véracité au moyen de documents officiels ou privés, par exemple un extrait du registre des poursuites ou un certificat de salaire (al. 3). Si le prêteur contrevient de manière grave à l'art. 28 aLCC, il perd le montant du crédit qu'il a consenti, y compris les intérêts et les frais. Le consommateur peut réclamer le remboursement des montants qu'il a déjà versés, en application des règles sur l'enrichissement illégitime (art. 32 al. 1 aLCC). Si la contravention est peu grave, le prêteur ne perd que les intérêts et les frais (al. 2). Constitue en particulier une violation grave au sens de l'art. 32 aLCC le fait pour un prêteur de ne contrôler aucunement la capacité du consommateur de contracter un crédit ou de procéder à un examen arbitraire, ne tenant pas compte des critères fixés par la loi (FAVRE-BULLE, Commentaire romand, 2012, n. 7, ad art. 32 LCC).</w:t>
      </w:r>
    </w:p>
    <w:p>
      <w:r>
        <w:t>- 9/11 -</w:t>
      </w:r>
    </w:p>
    <w:p>
      <w:r>
        <w:t>C/2295/2016</w:t>
      </w:r>
    </w:p>
    <w:p>
      <w:r>
        <w:rPr>
          <w:b/>
        </w:rPr>
        <w:t>E. 2.3</w:t>
      </w:r>
    </w:p>
    <w:p>
      <w:r>
        <w:t>En l'espèce, les parties s'accordent à dire que le contrat litigieux est régi par l'aLCC. C'est à juste titre que le Tribunal a considéré que le contrat de crédit signé par le recourant valait titre de mainlevée. Le recourant n'a par ailleurs pas rendu sa libération vraisemblable. En effet, dans la mesure où il conteste devoir le montant en capital du prêt, il aurait pour ce faire dû rendre vraisemblable que l'intimée avait gravement violé son obligation de contrôler sa capacité de contracter un crédit. Or, tel n'est pas le cas. En effet, l'intimée a rendu vraisemblable qu'elle avait établi un budget énonçant les revenus et charges du recourant et de sa femme, fondé sur les indications fournies par celui-ci, sur sa fiche de salaire, vérifiée auprès de son employeur et sur la fiche de salaire de son épouse. Dans ce cadre, le recourant a signé deux documents attestant que son revenu mensuel net était bien de 8'194 fr. 40. Le recourant fait maintenant valoir qu'il avait mal compris la teneur de ces documents. Si tel est effectivement le cas, l'intimée n'en est pas responsable, dans la mesure où les documents en question sont clairs, en particulier le formulaire de demande de crédit dans lequel le recourant mentionne, sans aucune ambiguïté, que son salaire est de 8'194 fr. 40 par mois. En outre, les explications du recourant sont contradictoires, puisqu'il soutient avoir compris que le montant précité incluait le salaire de son épouse, tout en prétendant que celle-ci avait perdu son travail en septembre 2010. A cela s'ajoute qu'aucun élément du dossier ne rend vraisemblable le fait qu'une éventuelle falsification des fiches de salaire remises à l'intimée au moment de l'octroi du crédit serait imputable à une négligence de celle-ci. On voit mal au demeurant quel pourrait être son intérêt à octroyer un crédit sur la base de documents falsifiés. Le recourant ne critique par ailleurs pas les montants à concurrence desquels la mainlevée de l'opposition a été prononcée. Le chiffre 1 du jugement querellé sera par conséquent confirmé. 3. Le recourant fait encore valoir que le montant des dépens alloué par le Tribunal à l'intimée, en 4'000 fr., est excessif.</w:t>
      </w:r>
    </w:p>
    <w:p>
      <w:r>
        <w:t>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consacré.</w:t>
      </w:r>
    </w:p>
    <w:p>
      <w:r>
        <w:t>- 10/11 -</w:t>
      </w:r>
    </w:p>
    <w:p>
      <w:r>
        <w:t>C/2295/2016</w:t>
      </w:r>
    </w:p>
    <w:p>
      <w:r>
        <w:t>Pour une valeur litigieuse située entre 40'000 fr. et 80'000 fr., le défraiement est de 6'100 fr. plus 9% de la valeur litigieuse dépassant 40'000 fr., montant auquel s'ajoutent la TVA (8%) et les débours, estimés sauf éléments contraires, à 3% du défraiement. Le juge peut s'écarter de plus ou moins 10% du montant ainsi calculé pour prendre en compte les éléments mentionnés à l'art. 84 RTFMC (art. 85 RTMF; 25 et 26 LaCC).</w:t>
      </w:r>
    </w:p>
    <w:p>
      <w:r>
        <w:t>Pour les affaires sommaires et les affaires judiciaires relevant de la LP, le défraiement est dans la règle réduit à deux tiers et au plus à un cinquième du tarif de l'art. 85 RTFMC (art. 88 et 89 RTFMC).</w:t>
      </w:r>
    </w:p>
    <w:p>
      <w:r>
        <w:t>En l'espèce, la valeur litigieuse en capital est de 64'734 fr. 60, de sorte que le Tribunal pouvait fixer les dépens dans une fourchette entre 1'848 fr. et 6'160 fr. Le montant de 4'000 fr. est approprié au regard des critères légaux, étant souligné qu'un double échange d'écriture est intervenu en première instance.</w:t>
      </w:r>
    </w:p>
    <w:p>
      <w:r>
        <w:t>Le jugement querellé sera par conséquent entièrement confirmé. 4. Le recourant, qui succombe, sera condamné aux frais du recours (art. 106 al. 1 CPC). Les frais judiciaires seront arrêtés à 750 fr. (art. 48 et 61 OELP) et compensés avec l'avance versée par le recourant, laquelle restera acquise à l'Etat de Genève (art. 111 CPC). Le recourant sera en outre condamné à verser 1'500 fr. à l'intimée à titre de dépens, débours et TVA compris (art. 85, 89 et 90 RTFMC). * * * * *</w:t>
      </w:r>
    </w:p>
    <w:p>
      <w:r>
        <w:t>- 11/11 -</w:t>
      </w:r>
    </w:p>
    <w:p>
      <w:r>
        <w:t>C/2295/2016 PAR CES MOTIFS, La Chambre civile : A la forme : Déclare recevable le recours interjeté par A______ contre le jugement JTPI/7973/2016 rendu le 17 juin 2016 par le Tribunal de première instance dans la cause C/2295/2016- 20 SML. Au fond : Rejette ce recours. Déboute les parties de toutes autres conclusions. Sur les frais : Arrête à 750 fr. les frais judiciaires du recours et les compense avec l'avance versée par A______ qui reste acquise à l'Etat de Genève. Met les frais judiciaires à charge de A______. Condamne A______ à verser à B______ 1'500 fr. à titre de dépens de recours. Siégeant : Madame Fabienne GEISINGER-MARIETHOZ, présidente; Madame Pauline ERARD et Monsieur Laurent RIEBEN,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