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ACJC/163/2018 vom 31. August 2018</w:t>
      </w:r>
    </w:p>
    <w:p>
      <w:r>
        <w:t>GE Cour de justice, 2018-08-31, FR</w:t>
      </w:r>
    </w:p>
    <w:p>
      <w:r>
        <w:rPr>
          <w:b/>
        </w:rPr>
        <w:t xml:space="preserve">Quelle: </w:t>
      </w:r>
      <w:r>
        <w:t>https://mcp.opencaselaw.ch/entscheid/ge_gerichte_ACJC_163_2018</w:t>
      </w:r>
    </w:p>
    <w:p>
      <w:r>
        <w:t>FR: GE_GERICHTE ACJC/163/2018 du 31 août 2018</w:t>
      </w:r>
    </w:p>
    <w:p>
      <w:r>
        <w:t>IT: GE_GERICHTE ACJC/163/2018 del 31 agosto 2018</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Lorsque le recours est dirigé contre</w:t>
      </w:r>
    </w:p>
    <w:p>
      <w:r>
        <w:t>- 6/9 -</w:t>
      </w:r>
    </w:p>
    <w:p>
      <w:r>
        <w:t>C/7992/2006-CS des mesures provisionnelles, le délai de recours est de dix jours à compter de la notification de la décision (art. 445 al. 3 CC). En l'espèce, le recours a été formé par la mère de la mineure objet de la mesure de protection, dans le délai utile de dix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Les père et mère administrent les biens de l'enfant aussi longtemps qu'ils ont l'autorité parentale (art. 318 al. 1 CC). Les père et mère peuvent utiliser les revenus des biens de l'enfant pour son entretien, son éducation et sa formation et, dans la mesure où cela est équitable, pour les besoins du ménage. Le surplus passe dans les biens de l'enfant (art. 319 al. 1 et 2 CC).</w:t>
      </w:r>
    </w:p>
    <w:p>
      <w:r>
        <w:t>Si une administration diligente n'est pas suffisamment assurée, l'autorité de protection de l'enfant prend les mesures nécessaires pour protéger les biens de l'enfant. Elle peut, en particulier, donner des instructions concernant l'administration et, lorsque les comptes et le rapport périodiques ne suffisent pas, exiger une consignation ou des sûretés (art. 324 al. 1 et 2 CC).</w:t>
      </w:r>
    </w:p>
    <w:p>
      <w:r>
        <w:t>S'il n'y a pas d'autre façon d'empêcher que les biens de l'enfant soient mis en péril, l'autorité de protection de l'enfant en confie l'administration à un curateur (art. 325 al. 1 CC). S'il est à craindre que les revenus des biens de l'enfant ou les montants prélevés sur ces biens ne soient pas utilisés conformément à la loi, l'autorité de protection de l'enfant peut également en confier l'administration à un curateur (art. 325 al. 3 CC). Dans l'hypothèse visée par l'art. 325 al. 1 CC, seuls les éléments de fortune sont touchés par le retrait de l'administration; les revenus de la fortune et les montants prélevés conformément à la loi demeurent soumis à l'administration des père et mère. Cette mesure sera appliquée lorsque le péril réside dans la diminution des biens, leur dissipation ou une restitution plus difficile au moment de l'accès à la majorité de l'enfant (MEIER/STETTLER, Droit de la filiation, 5ème édition, p. 905 et 906, n°1400). Dans une deuxième hypothèse (art. 325 al. 3 CC), la mesure peut être étendue à l'ensemble du patrimoine soumis à l'administration des détenteurs de l'autorité parentale. Tel sera le cas lorsque l'autorité de protection constate que les revenus des biens et les prélèvements effectués sur ces derniers ne sont pas affectés à la destination prévue par la loi ou lorsqu'il existe des craintes à ce sujet. Dans ce cas, étant donné que tant l'administration des revenus que celle de la fortune sont soustraites aux père et mère, il est soutenu en doctrine qu'il ne s'agit plus d'une</w:t>
      </w:r>
    </w:p>
    <w:p>
      <w:r>
        <w:t>- 7/9 -</w:t>
      </w:r>
    </w:p>
    <w:p>
      <w:r>
        <w:t>C/7992/2006-CS mesure de curatelle protégeant les biens de l'enfant, mais d'une mesure de retrait de l'autorité parentale limitée aux aspects relatifs à l'administration des biens de l'enfant (MEIER/STETTLER, op. cit, p. 906, n. 1401).</w:t>
      </w:r>
    </w:p>
    <w:p>
      <w:r>
        <w:rPr>
          <w:b/>
        </w:rPr>
        <w:t>E. 2.2</w:t>
      </w:r>
    </w:p>
    <w:p>
      <w:r>
        <w:t>Dans le cas d'espèce, des mesures de protection de l'enfant ont dû être prises en raison de l'incapacité dans laquelle se trouvait la recourante non seulement de s'occuper de sa fille E______, laquelle est placée chez des tiers ou dans un foyer depuis plusieurs années, mais également de gérer ses affaires administratives et celles de la mineure. L'état de santé de la recourante semble certes s'être amélioré et celle-ci s'occupe désormais à nouveau de sa propre gestion administrative. Comme l'a toutefois relevé, à raison, le Service de protection des mineurs, cette amélioration est récente et il n'est, pour l'heure, pas possible de déterminer si la gestion effectuée par la recourante de ses propres affaires est, ou pas, rigoureuse. Il résulte par ailleurs du dossier que l'enfant perçoit des montants conséquents, qui lui viennent des assurances invalidité et deuxième pilier de sa mère, pour un montant total de plus de 900 fr. par mois selon les déclarations de la recourante, sans compter un important rétroactif. Ces montants doivent être utilisés exclusivement pour l'entretien et l'éducation de E______ et non pour les besoins personnels de la recourante. L'enfant ne vivant pas avec cette dernière, les rentes perçues devraient être rigoureusement utilisées pour payer les frais de placement de l'enfant et ses charges courantes. Or, il n'est pas certain que la recourante soit en mesure de faire preuve de toute la rigueur nécessaire dans la gestion du budget de sa fille, étant relevé que sa propre situation financière n'a pas été assainie et qu'elle n'a, notamment, pas jugé utile d'informer spontanément le Service de protection des mineurs de ce qu'elle avait perçu, de l'assurance invalidité, un arriéré revenant à E______. Le placement de cette dernière étant destiné à se poursuivre, il se justifie d'autant plus que ses frais incompressibles, qui doivent passer avant les vacances ou d'éventuels loisirs, soient couverts. Au vu de ce qui précède, c'est à raison que le Tribunal de protection a, sur mesures provisionnelles, non seulement maintenu les curatelles existantes, mais également instauré une curatelle de gestion de biens en faveur de la mineure E______, la recourante n'ayant pas encore démontré avoir recouvré, sur la durée, la faculté de gérer de manière efficace et adéquate ses propres affaires et celles de sa fille. La mesure prononcée, de même que celles d'ores et déjà en vigueur, apparaissent par conséquent parfaitement proportionnées. Dans ces circonstances, la décision attaquée doit être confirmée.</w:t>
      </w:r>
    </w:p>
    <w:p>
      <w:r>
        <w:rPr>
          <w:b/>
        </w:rPr>
        <w:t>E. 3</w:t>
      </w:r>
    </w:p>
    <w:p>
      <w:r>
        <w:t>Les frais, arrêtés à 400 fr. (art. 67A et 67B du Règlement fixant le tarif des frais en matière civile), seront mis à la charge de la recourante, qui succombe. Celle- ci ayant toutefois été mise au bénéfice de l'assistance judiciaire, ils seront provisoirement assumés par l'Etat de Genève.</w:t>
      </w:r>
    </w:p>
    <w:p>
      <w:r>
        <w:t>- 8/9 -</w:t>
      </w:r>
    </w:p>
    <w:p>
      <w:r>
        <w:t>C/7992/2006-CS * * * * *</w:t>
      </w:r>
    </w:p>
    <w:p>
      <w:r>
        <w:t>- 9/9 -</w:t>
      </w:r>
    </w:p>
    <w:p>
      <w:r>
        <w:t>C/7992/2006-CS PAR CES MOTIFS, La Chambre de surveillance : A la forme : Déclare recevable le recours formé le 1er juin 2018 par A______ contre l'ordonnance DTAE/2573/2018 rendue le 7 mai 2018 par le Tribunal de protection de l'adulte et de l'enfant dans la cause C/7992/2006-10. Au fond : Le rejette. Sur les frais : Arrête les frais judiciaires de recours à 400 fr., les met à la charge de A______ et dit qu'ils sont provisoirement assumés par l'Etat de Genève, vu le bénéfice de l'assistance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