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ACJC/1632/2018 vom 26. November 2018</w:t>
      </w:r>
    </w:p>
    <w:p>
      <w:r>
        <w:t>GE Cour de justice, 2018-11-26, FR</w:t>
      </w:r>
    </w:p>
    <w:p>
      <w:r>
        <w:rPr>
          <w:b/>
        </w:rPr>
        <w:t xml:space="preserve">Quelle: </w:t>
      </w:r>
      <w:r>
        <w:t>https://mcp.opencaselaw.ch/entscheid/ge_gerichte_ACJC_1632_2018</w:t>
      </w:r>
    </w:p>
    <w:p>
      <w:r>
        <w:t>FR: GE_GERICHTE ACJC/1632/2018 du 26 novembre 2018</w:t>
      </w:r>
    </w:p>
    <w:p>
      <w:r>
        <w:t>IT: GE_GERICHTE ACJC/1632/2018 del 26 novembre 2018</w:t>
      </w:r>
    </w:p>
    <w:p>
      <w:pPr>
        <w:pStyle w:val="Heading2"/>
      </w:pPr>
      <w:r>
        <w:t>Erwägungen</w:t>
      </w:r>
    </w:p>
    <w:p>
      <w:r>
        <w:rPr>
          <w:b/>
        </w:rPr>
        <w:t>E. 28</w:t>
      </w:r>
    </w:p>
    <w:p>
      <w:r>
        <w:t>septembre 2006 consid. 3.1.1, in CdB 2007 22; cf. toutefois arrêt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w:t>
      </w:r>
    </w:p>
    <w:p>
      <w:r>
        <w:t>La loi prévoit que si le paiement du loyer n'intervient pas durant le délai de grâce, le congé peut être donné avec un délai de trente jours pour la fin d'un mois (art. 257d al. 2 CO); une prolongation de bail est exclue (art. 272a al. 1 let. a CO). Cette réglementation légale signifie que le locataire mis en demeure doit évacuer l'objet loué dans les plus brefs délais s'il ne paie pas le loyer en retard.</w:t>
      </w:r>
    </w:p>
    <w:p>
      <w:r>
        <w:t>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w:t>
      </w:r>
    </w:p>
    <w:p>
      <w:r>
        <w:t>- 10/12 -</w:t>
      </w:r>
    </w:p>
    <w:p>
      <w:r>
        <w:t>C/14058/2017 p. 466,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(arrêts du Tribunal fédéral 4A_140/2014, 4A_250/2014 du 6 août 2014 consid. 5.1 et 5.2). 2.8 Dans le présent cas, il est constant que par avis comminatoire du 9 février 2017, l'intimée a mis en demeure l'appelant de lui verser la somme de 132'750 fr. à titre d'arriérés de loyers pour les mois de mars 2012 à février 2017 et qu'elle l'a menacé de résilier le contrat de bail à défaut de paiement intégral de la somme réclamée dans un délai de 30 jours. Aucun paiement n'est intervenu dans le délai comminatoire. L'appelant n'a pas contesté qu'aucun loyer n'ait été versé depuis 2010. L'appelant soutient que le congé est nul, motifs pris de la compensation invoquée, à laquelle l'intimée ne s'était pas opposée, de ce que cette dernière avait retiré le congé notifié en 2014, de ce qu'elle n'avait pas non plus initié de poursuites à son encontre et de ce qu'un sous-locataire occupait une partie des locaux qu'il louait. Ces griefs, qui seront examinés ci-après, ne sauraient fonder une nullité de la résiliation du bail, dès lors qu'il n'est pas contesté que le congé a été donné au moyen d'une formule officielle, comportant toutes les indications et autres formalités prévues par la loi. Reste à examiner si la compensation dont se prévaut l'appelant rend inefficace le congé litigieux et, partant, l'absence de clarté du présent cas. L'appelant n'a pas allégué ni rendu vraisemblable avoir adressé à l'intimée une déclaration de compensation dans le délai comminatoire (février 2017). Il se contente de renvoyer, par exemple, à la mise en demeure et au congé notifiés en 2014, ainsi qu'aux courriers échangés entre les parties en septembre 2014, sans autre explication. Contrairement à ce que soutient l'appelant, l'intimée n'a pas admis la compensation qu'il a invoquée. En effet, elle a clairement fait valoir qu'elle n'était pas concernée par les éventuelles créances/dettes issues des rapports patrimoniaux entre l'appelant et C______. La Cour retient qu'en tout état de cause, les éventuelles créances que détiendrait l'appelant le sont à l'encontre du précité, et non de l'intimée. En effet, le prétendu sous-loyer en lien avec l'occupation partielle des locaux par C______ n'est pas dû</w:t>
      </w:r>
    </w:p>
    <w:p>
      <w:r>
        <w:t>- 11/12 -</w:t>
      </w:r>
    </w:p>
    <w:p>
      <w:r>
        <w:t>C/14058/2017 par l'intimée, ce que l'appelant ne prétend au demeurant pas. Il résulte de plus des pièces versées à la procédure, en particulier du "Tableau des créances dues … entre M. C______ et M. A______" que seuls ces derniers sont concernés, à l'exception de l'intimée. Ainsi, la compensation invoquée ne peut être retenue en l'espèce. Enfin, il convient de déterminer si le congé est annulable. L'absence de mise en poursuite de l'appelant par l'intimée ne permet pas de retenir un éventuel abus de droit, l'intimée n'étant pas tenue d'introduire une poursuite aux fins de récupérer son dû. Il en va de même de l'alléguée sous-location que l'appelant ferait d'une partie de ses locaux à C______, lequel n'est, comme retenu ci-avant, pas partie à la présente procédure. Dite sous-location n'a par ailleurs aucun effet sur le rapport de bail liant les parties. D'ailleurs, l'appelant n'énonce pas les conditions de la prétendue sous-location ni ne fournit d'indications précises quant au montant qui serait prétendument dû à ce titre par C______. L'appelant ne soutient en outre pas que l'intimée serait concernée par les loyers issus de la sous- location. Enfin, lors du retrait, en septembre 2014, du précédent congé par l'intimée, en vue de parvenir à une solution amiable, celle-ci a fait état de ce qu'elle contestait les allégations de l'appelant concernant les relations patrimoniales qu'il entretenait avec C______ et les conséquences de celles-ci. Il ne peut dès lors pas être retenu un quelconque comportement contraire aux règles de la bonne foi par l'intimée. Par conséquent, c'est à bon droit que le Tribunal a retenu que les arguments invoqués par l'appelant relatifs à l'existence d'un accord avec C______ ne permettaient pas de mettre en échec les conditions de clarté du cas clair. Partant, les conditions du cas clair au sens de l'art. 257 CPC étaient réunies et c'est à juste titre que les premiers juges ont condamné l'appelant à évacuer les locaux en cause. 2.9 Le jugement entrepris sera confirmé. 2.10 Dès lors que l'appelant n'a pas formulé de grief en lien avec les mesures d'exécution ordonnées par le Tribunal, elles ne seront pas examinées par la Cour.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C/14058/2017 PAR CES MOTIFS, La Chambre des baux et loyers : A la forme : Déclare recevable l'appel interjeté le 9 août 2018 par A______ contre le jugement JTBL/684/2018 rendu le 24 juillet 2018 par le Tribunal des baux et loyers dans la cause C/14058/2017-8-SE.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