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ACJC/1631/2023 vom 12. Dezember 2023</w:t>
      </w:r>
    </w:p>
    <w:p>
      <w:r>
        <w:t>GE Cour de justice, 2023-12-12, FR</w:t>
      </w:r>
    </w:p>
    <w:p>
      <w:r>
        <w:rPr>
          <w:b/>
        </w:rPr>
        <w:t xml:space="preserve">Quelle: </w:t>
      </w:r>
      <w:r>
        <w:t>https://mcp.opencaselaw.ch/entscheid/ge_gerichte_ACJC_1631_2023</w:t>
      </w:r>
    </w:p>
    <w:p>
      <w:r>
        <w:t>FR: GE_GERICHTE ACJC/1631/2023 du 12 décembre 2023</w:t>
      </w:r>
    </w:p>
    <w:p>
      <w:r>
        <w:t>IT: GE_GERICHTE ACJC/1631/2023 del 12 dicembre 2023</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interjeté en temps utile, selon la forme prescrite par la loi (art. 130 al. 1 et 311 al. 1 CPC), et porte sur des conclusions supérieures à 10'000 fr. Il est donc recevable. 1.2.1 Selon l'art. 320 CPC, le recours est recevable pour violation du droit (let. a) ou constatation manifestement inexacte des faits (let. b). L'autorité de recours a un plein pouvoir d'examen en droit, mais un pouvoir limité à l'arbitraire en fait, n'examinant par ailleurs que les griefs formulés et motivés par la partie recourante (HOHL, Procédure civile, Tome II, 2ème éd., 2010, n. 2307). 1.2.2 En l'espèce, les faits pertinents non pris en considération par le Tribunal ou ceux constatés de manière arbitraire ont été intégrés dans la partie EN FAIT ci- dessus.</w:t>
      </w:r>
    </w:p>
    <w:p>
      <w:r>
        <w:rPr>
          <w:b/>
        </w:rPr>
        <w:t>E. 1.3</w:t>
      </w:r>
    </w:p>
    <w:p>
      <w:r>
        <w:t>La requête en inscription provisoire d'une hypothèque légale est une mesure provisionnelle (art. 261 ss CPC) à laquelle la procédure sommaire s'applique (art. 248 ss, 249 let. d ch. 5 et 11 CPC; ATF 137 III 563 consid. 3.3; arrêts du Tribunal fédéral 5A_203/2023 du 30 août 2023 consid. 2.1; 5A_822/2022 du 14 mars 2023 consid. 2.1 et les références). Le juge peut dès lors s'en tenir à la vraisemblance des faits allégués et à un examen sommaire du droit (ATF 139 III 86 consid. 4.2; 131 III 473 consid. 2.3; arrêts du Tribunal fédéral 5A_203/2023 précité consid. 3.2; 5A_916/2019 du 12 mars 2020 consid. 3.4).</w:t>
      </w:r>
    </w:p>
    <w:p>
      <w:r>
        <w:rPr>
          <w:b/>
        </w:rPr>
        <w:t>E. 1.4</w:t>
      </w:r>
    </w:p>
    <w:p>
      <w:r>
        <w:t>Le procès est soumis à la maxime des débats (art. 55 cum 255 CPC a contrario; arrêt du Tribunal fédéral 5A_630/2021 du 26 novembre 2021 consid. 3.3.2.2; cf. infra consid. 2.1.4).</w:t>
      </w:r>
    </w:p>
    <w:p>
      <w:r>
        <w:rPr>
          <w:b/>
        </w:rPr>
        <w:t>E. 2</w:t>
      </w:r>
    </w:p>
    <w:p>
      <w:r>
        <w:t>L'appelante a produit une pièce nouvelle devant la Cour.</w:t>
      </w:r>
    </w:p>
    <w:p>
      <w:r>
        <w:rPr>
          <w:b/>
        </w:rPr>
        <w:t>E. 2.1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w:t>
      </w:r>
    </w:p>
    <w:p>
      <w:r>
        <w:t>- 8/17 -</w:t>
      </w:r>
    </w:p>
    <w:p>
      <w:r>
        <w:t>C/6455/2023 S'agissant des vrais nova,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 instance (ATF 144 III 349 consid. 4.2.1 p. 351).</w:t>
      </w:r>
    </w:p>
    <w:p>
      <w:r>
        <w:rPr>
          <w:b/>
        </w:rPr>
        <w:t>E. 2.2</w:t>
      </w:r>
    </w:p>
    <w:p>
      <w:r>
        <w:t>En l'espèce, la pièce nouvelle produite en appel a été établie le 6 octobre 2022, soit avant l'introduction de la présente procédure devant le Tribunal et donc avant que les débats de première instance ne soient clos. L'appelante n'explicite pas en quoi elle aurait été empêchée de s'en prévaloir devant le Tribunal. Cette pièce est donc irrecevable.</w:t>
      </w:r>
    </w:p>
    <w:p>
      <w:r>
        <w:rPr>
          <w:b/>
        </w:rPr>
        <w:t>E. 2.3</w:t>
      </w:r>
    </w:p>
    <w:p>
      <w:r>
        <w:t>L'appelante conteste la recevabilité des allégués n. 1 à 32 du mémoire de réponse des intimés du 15 septembre 2023. Les allégués n. 1 à 12 ont soit été repris des déterminations de première instance du 22 mai 2023 (quand bien même la numérotation n'est pas identique), soit se rapportent au raisonnement du premier juge. En revanche, les allégués n. 13 et 14 sont partiellement nouveaux, et partant irrecevables dès lors qu'ils ne se fondent pas sur des nova ou de nouvelles pièces. Les allégués n. 15 à 32 ressortent soit des déterminations du 22 mai 2023 précitées, soit des observations des intimés du 21 juin 2023 (dont la recevabilité a été implicitement admise par le Tribunal), soit de l'ordonnance entreprise, de sorte qu'ils ne sont pas nouveaux.</w:t>
      </w:r>
    </w:p>
    <w:p>
      <w:r>
        <w:rPr>
          <w:b/>
        </w:rPr>
        <w:t>E. 3</w:t>
      </w:r>
    </w:p>
    <w:p>
      <w:r>
        <w:t>L'appelante se plaint d'une constatation inexacte des faits et reproche au Tribunal d'avoir considéré que sa requête en inscription d'une hypothèque légale était tardive. Selon elle, les travaux se sont achevés le 9 décembre 2022 et cette date aurait dû être retenue pour calculer le délai de quatre mois. 3.1.1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w:t>
      </w:r>
    </w:p>
    <w:p>
      <w:r>
        <w:t>- 9/17 -</w:t>
      </w:r>
    </w:p>
    <w:p>
      <w:r>
        <w:t>C/6455/2023 leur débiteur soit le propriétaire foncier, un artisan ou un entrepreneur, un locataire, un fermier ou une autre personne ayant un droit sur l'immeuble. L'inscription peut être requise dès le moment de la conclusion du contrat (art. 839 al. 1 CC; arrêts du Tribunal fédéral 5A_203/2023 précité consid. 4.1.1; 5A_630/2021 du 26 novembre 2021 consid. 3.3.2.4) et doit être obtenue au plus tard dans les quatre mois qui suivent l'achèvement des travaux (art. 839 al. 2 CC). Il s'agit d'un délai de péremption qui ne peut être ni suspendu ni interrompu, mais il peut être sauvegardé par l'annotation d'une inscription provisoire (ATF 137 III 563 consid. 3.3; 126 III 462 consid. 2c/aa; arrêts du Tribunal fédéral 5A_203/2023 précité, ibid; 5A_630/2021 précité loc. cit.; 5A_518/2020 du 22 octobre 2020 consid. 3.1 et les autres références). Il incombe à l'entrepreneur d'établir, ou à tout le moins de rendre vraisemblable que le délai de quatre mois a été respecté (BOVEY, in Commentaire romand CC II, 2016, n. 87 ad art. 839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arrêts du Tribunal fédéral 5A_203/2023 précité ibid; 5A_109/2022 du 15 septembre 2022 consid. 2.2 et les références; 5A_630/2021 précité loc. cit.; 5A_518/2020 précité loc. cit. et les références).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2c; arrêts du Tribunal fédéral 5A_203/2023 précité ibid; 5A_518/2020 précité loc. cit. et les références). En cas de retard dans l'achèvement des travaux, le délai ne court que dès la date à laquelle les travaux sont effectivement terminés. L'entrepreneur ne peut cependant pas se prévaloir de ce que les travaux ne sont pas terminés et que le délai de quatre mois n'a pas encore commencé à courir, lorsque cela est dû à son propre retard fautif (BOVEY, op.cit., n. 97 ad art. 839 CC et les références citées). Le délai légal commence à courir dès l'achèvement des travaux, et non pas dès l'établissement de la facture, même si cet élément peut constituer un indice de la</w:t>
      </w:r>
    </w:p>
    <w:p>
      <w:r>
        <w:t>- 10/17 -</w:t>
      </w:r>
    </w:p>
    <w:p>
      <w:r>
        <w:t>C/6455/2023 fin des travaux (arrêts du Tribunal fédéral 5A_203/2023 précité ibid; 5A_420/2014 du 27 novembre 2014 consid. 3.1 et les références citées).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5A_518/2020 précité loc. cit. et la référence). Le fait que l'entrepreneur présente une facture pour son travail donne toutefois à penser, en règle générale, qu'il estime l'ouvrage achevé (ATF 101 II 253; arrêt du Tribunal fédéral 5A_518/2020 précité loc. cit. et les références). 3.1.2 Dans un arrêt récent destiné à la publication aux ATF, le Tribunal fédéral a considéré que le (simple) transport de matériaux - y compris les travaux de chargement et de déchargement pour le transport (THURNHERR, Basler Kommentar, Zivilgesetzbuch II, 7e éd. 2023., n. 6 ad art. 839/840 CC; THURNHERR, Das revidierte Bauhandwerkerpfandrecht - zu wenig Neues, aber noch mehr Problematisches?, RNRF 2012 p. 80; voir également SCHMID/HURLIMANN-KAUP, Sachenrecht, 6e éd. 2022., n. 1707b p. 508 et SCHUMACHER/REY, Das Bauhandwerkerpfandrecht, 4ème éd. 2022, n. 261 p. 92 qui excluent les déchargements au moyen d'un camion-grue) - ou encore la livraison de matériaux de construction non spécialement confectionnés pour un ouvrage déterminé ne donnent pas lieu à cette sûreté réelle (arrêt du Tribunal fédéral 5D_116/2014 du 13 octobre 2014 consid. 5.2.1, publié in RNRF 2016 p. 338; STEINAUER, Les droits réels, Tome III, 5ème éd., 2021, n. 4475 p. 338 et les références; SCHUMACHER/REY, op. cit., n. 229 p. 79 et n. 261 p. 92; THURNHERR, op. cit., n. 6 ad art. 839/840 CC; BERCHTOLD, Zur Revisionsbedürftigkeit des Bauhandwerkerpfandrechts, 2008, p. 99 s.; STREIFF, Das neue Bauhandwerkerpfandrecht, 2011, p. 52; cf. aussi ATF 131 III 300 consid. 4.2 et la référence; arrêt du Tribunal fédéral 5C.251/1991 du 19 mai 1992 consid. 3b et la référence). L'entrepreneur ayant livré des matériaux qui, pris isolément, ne peuvent pas donner lieu à l'hypothèque légale, peut néanmoins bénéficier de celle-ci si ces matériaux forment une unité avec d'autres qui, eux, donnent lieu à l'hypothèque (ATF 125 III 113 consid. 2a; arrêt du Tribunal fédéral 5A_689/2022 du 6 avril 2023 consid. 5.2.6; STEINAUER, op. cit., n. 4476 p. 338; THURNHERR, op. cit., n. 6 ad art. 839/840 CC; SCHUMACHER/REY, op. cit., n. 266 p. 93 et n. 356 p. 112; BERCHTOLD, op. cit., p. 88).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(arrêt du Tribunal fédéral 5A_689/2022 précité ibid; OGer ZH, 19.12.2019, LF190050, in ZR 119/2020 p. 49; SCHUMACHER/REY, op. cit., n. 356 p. 112 s.; STEINAUER,</w:t>
      </w:r>
    </w:p>
    <w:p>
      <w:r>
        <w:t>- 11/17 -</w:t>
      </w:r>
    </w:p>
    <w:p>
      <w:r>
        <w:t>C/6455/2023 op. cit., n. 4476 p. 338 note infrapaginale 50; FREY, in Schweizerisches Zivilgesetzbuch, OFK, 4e éd. 2021, no 16 ad art. 837 CC; STREIFF, op. cit., p. 39; contra apparemment concernant les travaux d'élimination de déchets [ Entsorgungsarbeiten]: SCHMID/HURLIMANN-KAUP, op. cit., n. 1707b p. 508). Tel sera assurément le cas si les gravats sont débarrassés par l'entreprise qui a elle- même procédé aux travaux de démolition (HURLIMANN-KAUP, Provisorische Eintragung eines Bauhandwerkerpfandrechts: Funktionale Einheit zwischen pfandgeschützten und nicht pfandgeschützten Arbeiten, in DC 2020 p. 335 et la référence; SCHUMACHER/REY, op. cit., n. 268 in fine p. 94; STREIFF, op. cit., p. 39). 3.1.3 Selon le Tribunal fédéral, si l'hypothèque légale des artisans et entrepreneurs trouve sa justification dans le fait que les travaux de construction ajoutent, en principe, de la valeur à la construction, la somme de l'hypothèque est déterminée à la lumière de la relation contractuelle avec le client de l'artisan ou de l'entrepreneur et non à la lumière de l'augmentation de valeur de la construction (arrêt du Tribunal fédéral 4A_152/2009 du 29 juin 2009 consid. 2.5). Ainsi, le sous-traitant n'a pas d'obligation d'agir en paiement contre l'entrepreneur général pour être légitimé à obtenir l'inscription définitive de l'hypothèque légale, l'objet de l'action en inscription de l'hypothèque légale n'étant pas de fixer la créance en tant que telle. Si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138 III 471 consid. 2; 126 III 467 consid. 3 dd et 4 d; arrêt du Tribunal fédéral 4A_271/2007 du 8 janvier 2008 consid. 2.1.2). 3.1.4 Conformément à l'art. 961 al. 3 CC, le juge statue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102 Ia 81 consid. 2b/bb; 86 I 265 consid. 3; arrêts du Tribunal fédéral 5A_203/2023 30 août 2023 consid. 4.1.2; 5A_822/2022 du 14 mars 2023 consid. 4.2; 5A_280/2021 du 17 juin 2022 consid. 3.1, publié in RSPC 2023 p. 97; 5A_1047/2020 du 4 août 2021 consid. 3.1; 5A_426/2015 du 8 octobre 2015</w:t>
      </w:r>
    </w:p>
    <w:p>
      <w:r>
        <w:t>- 12/17 -</w:t>
      </w:r>
    </w:p>
    <w:p>
      <w:r>
        <w:t>C/6455/2023 consid. 3.4; 5A_420/2014 du 27 novembre 2014 consid. 3.2; 5A_777/2009 du 1er février 2010 consid. 4.1; cf. ég. ATF 137 III 563 consid. 3.3). Il en résulte qu'à moins que le droit à la constitution de l'hypothèque n'existe clairement pas, le juge qui en est requis doit ordonner l'inscription provisoire (ATF 102 Ia 81 consid. 2b/bb; arrêts 5A_426/2015 précité loc. cit. et l'autre arrêt cité; 5A_777/2009 précité loc. cit.). 3.1.5 Un fait est rendu vraisemblable si le juge, en se basant sur des éléments objectifs, a l'impression que le fait invoqué s'est produit, sans pour autant devoir exclure la possibilité qu'il ait pu se dérouler autrement (ATF 140 III 610 consid. 4.1; 132 III 715 consid. 3.1). 3.1.6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ATF 144 III 519 consid. 5.2.1). En vertu des art. 221 al. 1 let. e et 222 al. 2 CPC, les moyens de preuve propres à établir les faits pertinents doivent également y être indiqués (ATF 143 III 1 consid. 4.1; arrêts du Tribunal fédéral 4A_164/2021 du 21 décembre 2021 consid. 3.1; 4A_560/2020 du 27 septembre 2021 consid. 5.1.1 et 5.1.2; 4A_288/2018 du 29 janvier 2019 consid. 3.1.2). Le demandeur supporte ainsi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w:t>
      </w:r>
    </w:p>
    <w:p>
      <w:r>
        <w:rPr>
          <w:b/>
        </w:rPr>
        <w:t>E. 3.2</w:t>
      </w:r>
    </w:p>
    <w:p>
      <w:r>
        <w:t>En l'espèce, il est constant que l'appelante a effectué des travaux sur la parcelle propriété des intimés tant en qualité d'entrepreneur, directement mandatée par les intimés, qu'en tant que sous-traitante de F______ SA. Les intimés ne le contestent pas (mémoire de réponse, p. 3., ad 4, 9 et 11), même s'ils se prévalent de l'absence d'approbation de cette sous-traitance, laquelle n'est pas pertinente pour l'issue du litige. Seule est litigieuse la créance de l'appelante relative aux travaux exécutés en sous-traitance.</w:t>
      </w:r>
    </w:p>
    <w:p>
      <w:r>
        <w:t>- 13/17 -</w:t>
      </w:r>
    </w:p>
    <w:p>
      <w:r>
        <w:t>C/6455/2023 L'appelante reproche au Tribunal d'avoir considéré que sa requête en inscription provisoire d'une hypothèque légale était tardive. Elle allègue avoir effectué plusieurs tâches, soit notamment des travaux de démolition, de terrassement et de nombreux transports et évacuations. Ces derniers avaient eu lieu tout au long du chantier, en dernier lieu en décembre 2022, et formaient une unité avec les autres travaux réalisés par ses soins. Elle avait ainsi procédé, le 9 décembre 2022, à l'évacuation de la terre d'excavation et au transport de la pelle mécanique, travaux faisant partie intégrante de ceux de terrassement. Le Tribunal a retenu que les travaux confiés à F______ SA s'étaient achevés en octobre 2021, voire le 1er novembre 2022, sans autre motivation, et qu'à teneur de la facture produite par l'appelante du 10 décembre 2022, elle se serait contentée d'évacuer, le jour précédent, "le reste de la terre de 7m3" et de transporter la pelle mécanique, travaux qui ne pouvaient être considérés comme des travaux d'achèvement d'importance. Les intimés font leur le raisonnement du premier juge. Certes, l'indication, dans la facture du 10 décembre 2022, de ce que le débarras de la terre et l'enlèvement de la pelle mécanique ont eu lieu le 9 décembre 2022, ne permet pas à elle seule de déterminer la date d'achèvement des travaux. A défaut d'élément probant, il ne peut être retenu que la facture aurait été établie pour les besoins de la procédure, l'appelante ayant œuvré sur le chantier des intimés et facturé les travaux effectués. Contrairement à ce que font valoir les intimés, le requérant en inscription d'une hypothèque légale provisoire n'a pas à apporter la preuve stricte de la date d'achèvement des travaux, mais doit (seulement) la rendre vraisemblable. L'arrêt du Tribunal fédéral qu'ils citent (5A_822/2022 du 14 mars 2023) concerne la charge de l'allégation et non le degré de preuve requis. Il ne peut être retenu, comme l'allèguent les intimés, que le chantier aurait été livré en octobre 2021, ni que l'appelante aurait volontairement différé l'exécution des travaux en cause. Il résulte en effet du courrier électronique du directeur de l'entreprise d'architecture mandatée par les intimés du 2 juin 2022 envoyé à F______ SA que diverses interventions de cette dernière étaient requises, soit la reprise de certaines marches se trouvant entre le couvert à voiture et la villa, l'enterrement du bloc béton tenant le tirant, la reprise de l'angle de la volige, la reprise du chemin en gravier et le géotextile, la réalisation de la bordure de pavés, ainsi que le débarras des déchets se trouvant à l'entrée de la parcelle. Par ailleurs, il résulte des factures des 1er septembre 2022 de F______ SA qu'elle a déployé des activités sur le chantier à tout le moins jusqu'au 5 juillet 2022. De plus, et contrairement à ce qu'a</w:t>
      </w:r>
    </w:p>
    <w:p>
      <w:r>
        <w:t>- 14/17 -</w:t>
      </w:r>
    </w:p>
    <w:p>
      <w:r>
        <w:t>C/6455/2023 retenu le Tribunal, il résulte d'un message WhatsApp du 25 octobre 2022, adressé par F______ SA à l'administrateur de l'appelante, même si le nom de l'intéressé n'y figure pas, que celle-ci a demandé à ce dernier de lui confirmer que l'évacuation des "terres" avait été effectuée, travaux faisant partie de la procédure en inscription d'une hypothèque légale qu'elle avait initiée à l'encontre des intimés. Il importe peu à cet égard que la photographie figurant en dessous du message soit sans relation avec le chantier en cause, comme le soutiennent les intimés. Au vu des éléments qui précèdent, l'appelante a rendu vraisemblable que l'enlèvement de la terre et de la pelle mécanique formaient une unité fonctionnelle avec les travaux de terrassement et que ces prestations ont été effectuées le 9 décembre 2022. L'attestation rédigée par l'architecte mandaté par les intimés ne modifie pas cette appréciation. Par ailleurs, le fait que les intimés aient pu habiter dans la villa, avant l'achèvement complet des travaux, n'est par ailleurs pas pertinent. Par conséquent, il sera retenu, sous l'angle de la vraisemblance, que la date d'achèvement des travaux est le 9 décembre 2022, date du début du dies a quo du délai de quatre mois pour requérir l'inscription de l'hypothèque légale provisoire. L'appelante ayant déposé sa requête en inscription le 3 avril 2023, elle a rendu vraisemblable le respect du délai précité. Conformément à la jurisprudence rappelée ci-avant, l'inscription provisoire d'une hypothèque légale des artisans et entrepreneurs ne peut être refusée que si l'existence du droit à l'inscription définitive du gage immobilier paraît exclue ou hautement invraisemblable, ce qui n'est pas le cas, au vu des considérants qui précèdent.</w:t>
      </w:r>
    </w:p>
    <w:p>
      <w:r>
        <w:rPr>
          <w:b/>
        </w:rPr>
        <w:t>E. 3.3</w:t>
      </w:r>
    </w:p>
    <w:p>
      <w:r>
        <w:t>Par conséquent, l'ordonnance entreprise sera annulée, et il sera statué à nouveau en ce sens que l'inscription provisoire de l'hypothèque légale sera ordonnée (art. 318 let. b CPC). Un délai de 60 jours dès notification de la présente décision sera en outre imparti à l'appelante pour faire valoir son droit en justice (art. 961 al. 3 CC).</w:t>
      </w:r>
    </w:p>
    <w:p>
      <w:r>
        <w:rPr>
          <w:b/>
        </w:rPr>
        <w:t>E. 4</w:t>
      </w:r>
    </w:p>
    <w:p>
      <w:r>
        <w:t>4.1 Si l'instance d'appel statue à nouveau, elle se prononce sur les frais de la première instance (art. 318 al. 3 CPC).</w:t>
      </w:r>
    </w:p>
    <w:p>
      <w:r>
        <w:t>En l'espèce, la quotité des frais de première instance, arrêtés à 1'200 fr., n'a pas été contestée et est conforme au RTFMC, de sorte qu'elle sera confirmée. Dès lors que les intimés succombent dans leurs conclusions (art. 106 al. 1 CPC), ces frais seront mis à leur charge, solidairement entre eux, compensés avec l'avance fournie par l'appelante, acquise à l'Etat de Genève (art. 111 al.1 CPC). Les intimés seront</w:t>
      </w:r>
    </w:p>
    <w:p>
      <w:r>
        <w:t>- 15/17 -</w:t>
      </w:r>
    </w:p>
    <w:p>
      <w:r>
        <w:t>C/6455/2023 dès lors condamnés à rembourser à cette dernière la somme de 1'200 fr. (art. 111 al. 2 CPC), ainsi qu'à lui verser 950 fr. à titre de dépens de première instance.</w:t>
      </w:r>
    </w:p>
    <w:p>
      <w:r>
        <w:rPr>
          <w:b/>
        </w:rPr>
        <w:t>E. 4.2</w:t>
      </w:r>
    </w:p>
    <w:p>
      <w:r>
        <w:t>Les frais judiciaires d'appel, y compris les frais de la décision rendue sur effet suspensif, seront arrêtés à 1'160 fr. (art. 13, 23, 31 et 37 RTFMC) et mis à la charge des intimés, qui succombent (art. 95 al. 2 et 106 al. 1 CPC). Ils seront compensés avec l'avance de frais de même montant fournie par l'appelante, qui reste acquise à l'Etat (art. 111 al. 1 CPC). Ils seront dès lors condamnés à rembourser à l'appelante la somme de 1'160 fr. (art. 111 al. 2 CPC). Les intimés seront également condamnés, conjointement et solidairement, à payer à la recourante la somme de 3'000 fr. à titre de dépens d'appel, débours et TVA compris (art. 25 et 26 LaCC, art. 85, 88 et 90 RTFMC). * * * * *</w:t>
      </w:r>
    </w:p>
    <w:p>
      <w:r>
        <w:t>- 16/17 -</w:t>
      </w:r>
    </w:p>
    <w:p>
      <w:r>
        <w:t>C/6455/2023 PAR CES MOTIFS, La Chambre civile :</w:t>
      </w:r>
    </w:p>
    <w:p>
      <w:r>
        <w:t>A la forme : Déclare recevable l'appel interjeté le 1er septembre 2023 par A______ SA contre l'ordonnance OTPI/518/2023 rendue le 21 août 2023 par le Tribunal de première instance dans la cause C/6455/2023–25. Au fond : Annule cette ordonnance. Cela fait et statuant à nouveau : Ordonne aux frais, risques et périls de A______ SA, au Conservateur du Registre foncier de Genève de procéder, à l'encontre de B______ et C______, l'inscription provisoire d'une hypothèque légale à concurrence de 23'076 fr. 88, avec intérêts à 5% dès le 11 décembre 2022 sur la parcelle n. 1______ de la Commune de D______ [GE], dont B______ et C______ sont propriétaires à raison d'une moitié chacun. Impartit à A______ SA un délai de 60 jours dès la notification du présent arrêt pour faire valoir son droit en justice. Dit que le présent arrêt déploiera ses effets jusqu'à droit jugé définitif ou accord entre les parties. Arrête les frais de première instance à 1'200 fr., compensés avec l'avance de frais fournie, acquise à l'Etat de Genève, et les met à la charge de B______ et C______, solidairement entre eux. Condamne B______ et C______, solidairement entre eux, à verser 1'200 fr. à A______ SA. Condamne B______ et C______, solidairement entre eux, à verser 950 fr. à titre de dépens à A______ SA. Déboute les parties de toutes autres conclusions.</w:t>
      </w:r>
    </w:p>
    <w:p>
      <w:r>
        <w:t>- 17/17 -</w:t>
      </w:r>
    </w:p>
    <w:p>
      <w:r>
        <w:t>C/6455/2023 Sur les frais : Arrête les frais judiciaires de l'appel à 1'160 fr., compensés avec l'avance de frais fournie, acquise à l'Etat de Genève, et les met à la charge de B______ et C______, solidairement entre eux. Condamne B______ et C______, solidairement entre eux, à verser 1'160 fr. à A______ SA. Condamne B______ et C______, solidairement entre eux, à verser 3'000 fr. à A______ SA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