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ACJC/1627/2018 vom 21. November 2018</w:t>
      </w:r>
    </w:p>
    <w:p>
      <w:r>
        <w:t>GE Cour de justice, 2018-11-21, FR</w:t>
      </w:r>
    </w:p>
    <w:p>
      <w:r>
        <w:rPr>
          <w:b/>
        </w:rPr>
        <w:t xml:space="preserve">Quelle: </w:t>
      </w:r>
      <w:r>
        <w:t>https://mcp.opencaselaw.ch/entscheid/ge_gerichte_ACJC_1627_2018</w:t>
      </w:r>
    </w:p>
    <w:p>
      <w:r>
        <w:t>FR: GE_GERICHTE ACJC/1627/2018 du 21 novembre 2018</w:t>
      </w:r>
    </w:p>
    <w:p>
      <w:r>
        <w:t>IT: GE_GERICHTE ACJC/1627/2018 del 21 novembre 2018</w:t>
      </w:r>
    </w:p>
    <w:p>
      <w:pPr>
        <w:pStyle w:val="Heading2"/>
      </w:pPr>
      <w:r>
        <w:t>Erwägungen</w:t>
      </w:r>
    </w:p>
    <w:p>
      <w:r>
        <w:rPr>
          <w:b/>
        </w:rPr>
        <w:t>E. 1</w:t>
      </w:r>
    </w:p>
    <w:p>
      <w:r>
        <w:t>1.1.1 A teneur de l'art. 5 al. 1 CPC, le droit cantonal institue la juridiction compétente pour statuer en instance cantonale unique sur les litiges portant sur des droits de propriété intellectuelle (let. a), ainsi que sur les litiges relevant de la loi fédérale du 19 décembre 1986 contre la concurrence déloyale lorsque la valeur litigieuse dépasse 30'000 fr. (let. d). Cette juridiction est également compétente pour statuer sur les mesures provisionnelles requises avant litispendance (al. 2). A Genève et selon l'art. 120 al. 1 LOJ, la Chambre civile de la Cour de justice exerce les compétences que le CPC attribue à la juridiction cantonale unique. 1.1.2 Le tribunal du domicile ou du siège du lésé ou du défendeur ou le tribunal du lieu de l'acte ou du résultat de celui-ci est compétent pour statuer sur les actions fondées sur un acte illicite (art. 36 CPC). Le siège de B______ étant situé à Genève, la Chambre de céans est compétente ratione loci pour connaître de la requête formée par A______.</w:t>
      </w:r>
    </w:p>
    <w:p>
      <w:r>
        <w:rPr>
          <w:b/>
        </w:rPr>
        <w:t>E. 1.2</w:t>
      </w:r>
    </w:p>
    <w:p>
      <w:r>
        <w:t>La requérante fonde ses prétentions sur la Loi fédérale sur la protection des marques et des indications de provenance (LPM) du 28 août 1992, sur la Loi fédérale sur la protection des designs (LDes) du 5 octobre 2001, ainsi que sur la</w:t>
      </w:r>
    </w:p>
    <w:p>
      <w:r>
        <w:t>- 6/11 -</w:t>
      </w:r>
    </w:p>
    <w:p>
      <w:r>
        <w:t>C/20187/2018 Loi fédérale contre la concurrence déloyale (LCD) du 19 décembre 1986. Les droits résultant de la LPM et de la LDes sont des droits de propriété intellectuelle au sens de l'art. 5 al. 1 let. a CPC, de sorte que la Cour est compétente en sa qualité d'instance unique pour en connaître. Il en résulte que la question de la valeur litigieuse au sens de la LCD peut demeurer indécise et que la requête est recevable.</w:t>
      </w:r>
    </w:p>
    <w:p>
      <w:r>
        <w:rPr>
          <w:b/>
        </w:rPr>
        <w:t>E. 2</w:t>
      </w:r>
    </w:p>
    <w:p>
      <w:r>
        <w:t>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BOHNET, Code de procédure civile commenté, 2011, n. 3ss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t>- 7/11 -</w:t>
      </w:r>
    </w:p>
    <w:p>
      <w:r>
        <w:t>C/20187/2018 2.1.2 La marque est un signe propre à distinguer les produites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 Sont exclus de la protection notamment les signes appartenant au domaine public, sauf s'ils se sont imposés comme marques pour les produits ou les services concernés (art. 2 let. a LPM). Sont en outre exclus de la protection notamment les signes identiques ou similaires à une marque antérieure et destinés à des produits ou services identiques ou similaires, lorsqu'il en résulte un risque de confusion (art. 3 let. b et c LPM). Le titulaire d'une marque peut interdire à des tiers l'usage des signes dont la protection est exclue en vertu de l'art. 3 al. 1; il peut en particulier interdire à des tiers d'apposer le signe concerné sur des produits, de l'utiliser pour offrir des produits, les mettre dans le commerce ou les détenir à cette fin et de l'utiliser à des fins publicitaires (art. 13 al. 2 let. a, b et e LPM). Celui qui subit une violation de son droit à la marque peut demander au juge de la faire cesser par voie de mesures provisionnelles (art. 55 al. 1 let. b et 59 LPM). 2.1.3 La LDes protège en tant que designs la création de produits ou de parties de produits caractérisés notamment par la disposition de lignes, de surfaces, de contours ou de couleurs, ou par le matériau utilisé (art. 1 LDes). Le droit sur un design prend naissance par l'enregistrement du design dans le Registre des designs (art. 5 al. 1 LDes). La protection du droit sur un design s'étend aux designs qui présentent les mêmes caractéristiques essentielles et qui, de ce fait, dégagent la même impression générale qu'un design enregistré (art. 8 LDes). Le droit sur un design confère à son titulaire le droit d'interdire à des tiers d'utiliser le design à des fins industrielles (art. 9 al. 1 LDes). 2.1.4 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w:t>
      </w:r>
    </w:p>
    <w:p>
      <w:r>
        <w:t>- 8/11 -</w:t>
      </w:r>
    </w:p>
    <w:p>
      <w:r>
        <w:t>C/20187/2018 prestations ou les affaires d'autrui (art. 3 al. 1 let. d LCD). Le comportement visé par cette disposition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2.1.5 D'après la jurisprudence, la notion de danger de confusion est identique dans l'ensemble du droit des biens immatériels. Le risque de confusion signifie qu'un signe distinctif, à considérer le domaine de protection que lui confère le droit des raisons de commerce, le doit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les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JdT 2001 I p. 345). Il importe en revanche peu de savoir si une confusion s'est déjà produite, un risque de confusion purement hypothétique étant suffisant (ATF 126 III 315 consid. 4).</w:t>
      </w:r>
    </w:p>
    <w:p>
      <w:r>
        <w:t>- 9/11 -</w:t>
      </w:r>
    </w:p>
    <w:p>
      <w:r>
        <w:t>C/20187/2018 2.2.1 En l'espèce, la requérante a établi être titulaire de la marque D______. Celle- ci est constituée du nom "D______", écrit en caractères ______, surmonté de ______, caractérisées par un ______. Contrairement à ce que soutient la requérante, il ne saurait être retenu que la citée a violé son droit à la marque en ornant le stylo roller et la plume 3______ et 4______ de ______ [descriptif détaillé]. En effet, la marque D______ n'est pas composée des seules ______ décrites ci-dessus, mais bien du nom "D______", surmonté de ______, ces éléments constituant un tout. Or, la citée n'a fait aucune référence au nom "D______", ni sur les instruments d'écriture en cause, ni dans sa publicité. Par ailleurs, la citée a rendu vraisemblable que les ______ litigieuses ne sont pas utilisées par la seule requérante, mais par de nombreuses marques horlogères, généralement [présentées d'une manière typique], de sorte qu'il y a lieu de considérer que lesdites ______ n'apparaissent pas comme une référence à la marque D______, mais appartiennent de manière plus générale au monde horloger. Il découle de ce qui précède que la requérante n'a pas rendu vraisemblable une violation de la LPM. 2.2.2 En ce qui concerne la LDes, il ressort des photographies produites que les éléments caractéristiques des instruments d'écriture commercialisés par la requérante sont d'une part le E______ et d'autre part et surtout, une ______. Il est toutefois rendu vraisemblable et non contesté que la technique du E______ est communément utilisée par d'autres fabricants de plumes et de [stylos] que la requérante, laquelle ne saurait par conséquent en revendiquer l'exclusivité. Dès lors, le seul élément distinctif des instruments d'écriture commercialisés par la requérante est ______, qui [renvoie à l'horlogerie]. Or, ______ des plumes et stylos roller 3______ et 4______ n'a pas la même forme, mais celle caractéristique des produits B______, à savoir ______. Au vu de ce qui précède, la requérante n'a pas rendu suffisamment vraisemblable une violation de la LDes. 2.2.3 Il reste à déterminer si la requérante a rendu vraisemblable une violation de la LCD, ce qui implique qu'un risque de confusion directe ou indirecte entre les produits qu'elle commercialise et ceux vendus par la citée ait été rendu vraisemblable. Tel n'est toutefois pas le cas. La citée a certes reproduit sur les instruments d'écriture en cause certains éléments qui rappellent [l'horlogerie], soit les ______, les ______ et le E______. Il s'agit toutefois d'éléments qui ne sont pas caractéristiques des seuls produits de la requérante, mais qui évoquent l'univers de l'horlogerie dans son ensemble et non</w:t>
      </w:r>
    </w:p>
    <w:p>
      <w:r>
        <w:t>- 10/11 -</w:t>
      </w:r>
    </w:p>
    <w:p>
      <w:r>
        <w:t>C/20187/2018 une marque en particulier. En effet et comme cela a déjà été relevé ci-dessus, les ______, de même que le E______, ne sont pas caractéristiques des seules A______. Quant aux ______, ils ornent les ______ montres de toutes marques. Par ailleurs, la marque B______ est gravée dans la partie centrale des produits litigieux et leur capuchon est orné d'un ______, caractéristique de la marque de la partie citée, ce qui rend encore moins plausible tout risque de confusion. S'ajoute à cela le fait que les instruments d'écriture en cause, compte tenu de leur prix élevé, s'adressent à des connaisseurs renseignés et attentifs, en mesure de ne pas confondre la marque de la requérante avec celle, également bien connue, de la citée.</w:t>
      </w:r>
    </w:p>
    <w:p>
      <w:r>
        <w:rPr>
          <w:b/>
        </w:rPr>
        <w:t>E. 2.3</w:t>
      </w:r>
    </w:p>
    <w:p>
      <w:r>
        <w:t>Au vu de ce qui précède, la requérante sera déboutée de ses conclusions sur mesures provisionnelles, sans qu'il soit nécessaire d'aborder la question de la vraisemblance d'un préjudice difficilement réparable.</w:t>
      </w:r>
    </w:p>
    <w:p>
      <w:r>
        <w:rPr>
          <w:b/>
        </w:rPr>
        <w:t>E. 3</w:t>
      </w:r>
    </w:p>
    <w:p>
      <w:r>
        <w:t>Les frais judiciaires, comprenant ceux relatifs à la décision rendue sur mesures superprovisionnelles, seront arrêtés à 8'000 fr. (art. 26 RTFMC), mis à la charge de A______ et compensés avec l'avance de frais de même montant, qui reste acquise à l'Etat de Genève (art. 111 al. 1 CPC). La requérante sera par ailleurs condamnée à verser à la citée la somme de 8'000 fr. à titre de dépens (art. 20 LaCC; 84 et 85 RTFMC). * * * * *</w:t>
      </w:r>
    </w:p>
    <w:p>
      <w:r>
        <w:t>- 11/11 -</w:t>
      </w:r>
    </w:p>
    <w:p>
      <w:r>
        <w:t>C/20187/2018 PAR CES MOTIFS, La Chambre civile : Statuant sur mesures provisionnelles, en instance unique : A la forme : Déclare recevable la requête de mesures provisionnelles formée par A______ contre B______ le 5 septembre 2018. Au fond : Déboute A______ des fins de sa requête. Sur les frais : Arrête les frais judiciaires à 8'000 fr., les met à la charge de A______ et les compense avec l'avance versée, qui reste acquise à l'Etat de Genève. Condamne A______ à verser à B______ la somme de 8'000 fr. à titre de dépens. Siégeant : Monsieur Cédric-Laurent MICHEL, président; Mesdames Pauline ERARD et Paola CAMPOMAGNANI, juges; Madame Sandra MILLET, greffière. Le président : Cédrie-Laurent MICHEL</w:t>
      </w:r>
    </w:p>
    <w:p>
      <w:r>
        <w:t>La greffière : Madame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