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ACJC/1625/2020 vom 20. November 2020</w:t>
      </w:r>
    </w:p>
    <w:p>
      <w:r>
        <w:t>GE Cour de justice, 2020-11-20, FR</w:t>
      </w:r>
    </w:p>
    <w:p>
      <w:r>
        <w:rPr>
          <w:b/>
        </w:rPr>
        <w:t xml:space="preserve">Quelle: </w:t>
      </w:r>
      <w:r>
        <w:t>https://mcp.opencaselaw.ch/entscheid/ge_gerichte_ACJC_1625_2020</w:t>
      </w:r>
    </w:p>
    <w:p>
      <w:r>
        <w:t>FR: GE_GERICHTE ACJC/1625/2020 du 20 novembre 2020</w:t>
      </w:r>
    </w:p>
    <w:p>
      <w:r>
        <w:t>IT: GE_GERICHTE ACJC/1625/2020 del 20 novembre 2020</w:t>
      </w:r>
    </w:p>
    <w:p>
      <w:pPr>
        <w:pStyle w:val="Heading2"/>
      </w:pPr>
      <w:r>
        <w:t>Erwägungen</w:t>
      </w:r>
    </w:p>
    <w:p>
      <w:r>
        <w:rPr>
          <w:b/>
        </w:rPr>
        <w:t>E. 1</w:t>
      </w:r>
    </w:p>
    <w:p>
      <w:r>
        <w:t>La Chambre civile de la Cour de justice est compétente pour statuer en instance cantonale unique sur la désignation d'un contrôleur spécial en vertu de l'art. 697b CO, soit en cas de refus de l'assemblée générale d'instituer un tel contrôle (art. 5 al. 1 let. g CPC; art. 120 al. 1 let. a LOJ).</w:t>
      </w:r>
    </w:p>
    <w:p>
      <w:r>
        <w:rPr>
          <w:b/>
        </w:rPr>
        <w:t>E. 2</w:t>
      </w:r>
    </w:p>
    <w:p>
      <w:r>
        <w:t>La procédure sommaire s'applique à l'institution d'un contrôle spécial de la société anonyme (art. 250 let. c ch. 8 CPC).</w:t>
      </w:r>
    </w:p>
    <w:p>
      <w:r>
        <w:rPr>
          <w:b/>
        </w:rPr>
        <w:t>E. 3</w:t>
      </w:r>
    </w:p>
    <w:p>
      <w:r>
        <w:t>3.1.1 Tout actionnaire peut proposer à l'assemblée générale l'institution d'un contrôle spécial afin d'élucider des faits déterminés, si cela est nécessaire à l'exercice de ses droits et s'il a déjà usé de son droit d'être renseigné ou à consulter les pièces (art. 697a al. 1 et 2 CO). Si l'assemblée générale ne donne pas suite à la proposition, des actionnaires représentant 10% au moins du capital-actions ou des actions d'une valeur nominale de 2 millions de francs peuvent, dans les trois mois, demander au juge la désignation d'un contrôleur spécial (art. 697b al. 1 CO). Avant de demander le contrôle spécial, l'actionnaire doit s'efforcer d'obtenir les informations qu'il souhaite en faisant valoir son droit aux renseignements et à la consultation des livres et de la correspondance, tel qu'il est prévu par l'art. 697 CO (ATF 133 III 133 consid. 3.2; 123 III 261 consid. 3a). Avant de s'adresser au juge, l'actionnaire doit proposer à l'assemblée générale l'institution d'un contrôle spécial. Il n'est pas nécessaire que ce point soit porté à l'ordre du jour (art. 700 al. 3 CO). Le conseil d'administration a l'obligation de soumettre la proposition au vote de l'assemblée générale; s'il s'y refuse, son attitude équivaut à un refus de l'assemblée générale elle-même et l'actionnaire pourra s'adresser au juge (arrêt du Tribunal fédéral 4A_648/2011 du 4 avril 2012 consid. 3.1;ATF 138 III 246 consid. 3.3). Pour que le juge institue le contrôle spécial, il faut que le requérant rende vraisemblable que des organes ont violé la loi ou les statuts et qu'ils ont ainsi causé un préjudice à la société ou aux actionnaires (art. 697b al. 2 CO). En exigeant du demandeur qu'il rende vraisemblable une violation de la loi ou des statuts, le législateur a montré tout d'abord qu'il n'exigeait pas que l'actionnaire apporte déjà des preuves, ce qui réduirait excessivement les possibilités d'obtenir une telle mesure et paraîtrait même contradictoire, puisque le contrôle spécial tend précisément à fournir des preuves; d'un autre côté, le législateur a indiqué, en exigeant qu'une vraisemblance soit établie, qu'il ne suffit pas que l'actionnaire ne fasse qu'affirmer ou soupçonner, sans aucun indice sérieux, pour entraîner une mesure aussi lourde que le contrôle spécial qui instaure un climat de méfiance à</w:t>
      </w:r>
    </w:p>
    <w:p>
      <w:r>
        <w:t>- 9/16 -</w:t>
      </w:r>
    </w:p>
    <w:p>
      <w:r>
        <w:t>C/17284/2020 l'intérieur de la société. Le requérant doit rendre vraisemblable que le comportement ou l'omission des organes a violé une disposition légale ou statutaire précise en indiquant en quoi consiste cette violation (arrêts du Tribunal fédéral 4A_648/2011 du 4 avril 2012 consid. 3.1; 4A_215/2010 du 27 juillet 2010 consid. 3.1.3). Le contrôle spécial doit répondre à un intérêt actuel et digne de protection; il ne peut donc pas porter sur des faits déjà connus. Il doit avoir pour objet des informations utiles pour permettre à l'actionnaire d'exercer ses droits, en particulier d'intenter une action en responsabilité contre les organes sociaux. Le contrôle spécial doit tendre à établir des faits déterminés, et non pas à obtenir des appréciations ou des jugements de valeur; il n'est pas admissible de demander un examen à des fins purement exploratoires dans l'espoir de découvrir des irrégularités dont le requérant ne sait rien (arrêts du Tribunal fédéral 4A_648/2011 du 4 avril 2012 consid. 3.1; 4A_215/2010 du 27 juillet 2010 consid. 3.1.3). L'inopportunité de la gestion effectuée ne constitue pas une violation de la loi ou des statuts, au vu de la grande marge d'appréciation dont dispose le conseil d'administration (PAULI PEDRAZZINI, Commentaire romand, n. 12 et ss ad art. 697b CO; WEBER, Berner Kommentar, n. 6 ad art. 697b CO). Selon l'article 697g CO, si le juge agrée la requête tendant à désigner un contrôleur spécial, il met l'avance et les frais à charge de la société. Si des circonstances particulières le justifient, il peut mettre tout ou partie des frais à charge des requérants. 3.1.2 Selon l'art. 678 al. 1 CO, les actionnaires et les membres du conseil d'administration qui ont perçu indûment et de mauvaise foi des dividendes, des tantièmes, d'autres parts de bénéfice ou des intérêts intercalaires sont tenus à restitution. Ils sont également tenus de restituer les autres prestations de la société qui sont en disproportion évidente avec leur contre-prestation et la situation économique de la société (art. 678 al. 2 CO). Cette norme tend principalement à la protection des fonds propres de la société dans l'intérêt des créanciers et des actionnaires minoritaires, ainsi qu'au respect de l'égalité de traitement entre les actionnaires. Elle vise aussi à protéger la bonne foi des bénéficiaires de distributions par la société (CHENAUX/ GACHET, Commentaire romand, n. 2 ad art. 678 CO). Un salaire excessif concédé à l'actionnaire ou à l'administrateur dans le cadre des rapports de travail peut constituer un dividende caché au sens de l'art. 678 CO. La jurisprudence reconnaît toutefois une liberté d'appréciation étendue à la société dans la fixation du traitement des actionnaires ou des administrateurs. Une</w:t>
      </w:r>
    </w:p>
    <w:p>
      <w:r>
        <w:t>- 10/16 -</w:t>
      </w:r>
    </w:p>
    <w:p>
      <w:r>
        <w:t>C/17284/2020 rémunération élevée ne permet pas en soi de conclure à une distribution occulte de bénéfices. Il est souvent difficile de déterminer ce qu'est un salaire conforme au marché. Les salaires doivent donc être appréciés de cas en cas, à la lumière de l'ensemble des circonstances relatives à la politique salariale de l'entreprise, à la situation financière de la société, à la position et aux compétences du bénéficiaire, ainsi qu'aux rémunérations versées aux salariés de rang équivalent (CHENAUX/ GACHET, op. cit., n. 46 ad art. 678 CO). 3.1.3 Selon l'art. 717 al. 1 CO, les membres du conseil d'administration, de même que les tiers qui s'occupent de la gestion, exercent leurs attributions avec toute la diligence nécessaire et veillent fidèlement aux intérêts de la société. Ils doivent traiter de la même manière les actionnaires qui se trouvent dans la même situation (art. 717 al. 2 CO). Le devoir de fidélité instauré par l'art. 717 al. 1 CO impose des obligations dans le cadre de la gestion des conflits d'intérêts et de la prévention de ceux-ci. Il inclut par ailleurs le devoir de discrétion à l'égard des tiers à propos de toute information confidentielle et un devoir de loyauté à l'égard de la société (PETER/ CAVADINI, Commentaire romand, n. 10 ad art. 717 CO). En ce qui concerne la concurrence, le droit de la SA ne prévoit pas explicitement d'obligation de non-concurrence à charge des organes. La doctrine est toutefois d'avis que les "personnes chargées de la gestion" sont indiscutablement soumises à une telle obligation. Afin d'éviter tout malentendu, il est recommandé de fixer clairement les limites de l'obligation de non-concurrence dans le règlement d'organisation. Si un danger de conflit d'intérêts existe, le devoir de fidélité impose que la personne concernée prenne les mesures nécessaires pour s'assurer que les intérêts de la société ont été pris en considération comme il convient (PETER/ CAVADINI, op. cit., n. 12 et 13 ad art. 717 CO).</w:t>
      </w:r>
    </w:p>
    <w:p>
      <w:r>
        <w:rPr>
          <w:b/>
        </w:rPr>
        <w:t>E. 3.2</w:t>
      </w:r>
    </w:p>
    <w:p>
      <w:r>
        <w:t>En l'espèce, le requérant a, le 19 mai 2020, sollicité de la part de la citée des renseignements sur l'augmentation des honoraires d'administrateurs pour 2019 et sur les liens entre la citée et I______ SA, précisant que, sous réserve des réponses qui lui seraient fournies, il sollicitait l'inscription de l'institution d'un contrôle spécial à l'ordre du jour de l'assemblée générale du 3 juin 2020. Le 29 mai 2020, la citée a fourni des renseignements au requérant et celui-ci lui a fait savoir le 2 juin 2020 que ceux-ci n'étaient pas suffisants, de sorte qu'il confirmait sa demande d'inscription à l'ordre du jour d'un contrôle spécial. Les administrateurs de la citée ont cependant refusé de soumettre cette proposition au vote de l'assemblée générale. La citée justifie ce refus par le fait que la demande d'inscription du contrôle spécial à l'ordre du jour lui est parvenue après la tenue de l'assemblée générale.</w:t>
      </w:r>
    </w:p>
    <w:p>
      <w:r>
        <w:t>- 11/16 -</w:t>
      </w:r>
    </w:p>
    <w:p>
      <w:r>
        <w:t>C/17284/2020 Tel n'est cependant pas le cas, puisqu'il ressort des pièces produites que la demande de vote sur le contrôle a été adressée par courriel à l'intimée le 2 juin 2020, soit un jour avant la tenue de l'assemblée générale prévue pour le 3 juin 2020. La citée savait de plus depuis le 19 mai 2020 que le requérant sollicitait l'inscription à l'ordre du jour d'un contrôle spécial, de sorte qu'elle avait la possibilité de prendre les dispositions nécessaires pour que cette demande puisse être soumise au vote lors de l'assemblée générale du 3 juin 2020. Elle ne l'a cependant pas fait, de sorte qu'il convient de retenir qu'elle a refusé de soumettre la proposition de contrôle spécial au vote de l'assemblée générale, ce qui, selon la jurisprudence, équivaut à un refus dudit contrôle et ouvre la voie au juge. Il est par ailleurs établi que le requérant représente au moins 10% du capital- actions de la citée, de sorte qu'il convient d'entrer en matière sur le fond de sa requête tendant à l'institution d'un contrôle spécial de la citée. En l'espèce, le requérant dispose d'informations suffisantes sur la rémunération des administrateurs entre 2018 et 2019 de par la lecture des états financiers de la société et de par les indications qui lui ont été fournies le 29 mai 2020. Cela est d'autant plus vrai que le requérant, qui était lui-même administrateur de la citée jusqu'en 2018, connaît la politique de rémunération des administrateurs de la citée. Ces informations lui ont d'ailleurs permis de formuler des allégations très précises dans sa requête sur la quotité et l'évolution de ladite rémunération. En réalité, sur ce point, sa requête de contrôle spécial ne vise pas à obtenir des renseignements mais à faire constater une violation de ses obligations par la citée en relation avec ladite rémunération. De telles constatations excèdent cependant le cadre admissible du contrôle spécial, lequel ne peut tendre à obtenir des appréciations ou des jugements de valeur. Aucun contrôle spécial ne peut dès lors être ordonné pour savoir si l'augmentation de la rémunération des administrateurs est fondée sur de justes motifs, si elle correspond à la norme et quelle serait la quotité de rémunération admissible (questions a, b et e). Les informations dont dispose déjà le requérant concernant la proportion d'augmentation de la rémunération des administrateurs et le montant des salaires (questions c et d) sont quant à elles suffisantes pour lui permettre d'exercer ses droits d'actionnaire de sorte qu'il ne sera pas fait droit à sa demande sur ce point.</w:t>
      </w:r>
    </w:p>
    <w:p>
      <w:r>
        <w:t>- 12/16 -</w:t>
      </w:r>
    </w:p>
    <w:p>
      <w:r>
        <w:t>C/17284/2020 La question f) portant sur le montant des fonds propres de la citée au regard de l'art. 23 LEFin n'a quant à elle pas fait l'objet d'une demande de renseignements préalable, de sorte que le contrôle spécial ne peut pas porter sur ce point. En tout état de cause, le montant des fonds propres de la citée ressort de ses états financiers. La situation se présente différemment en ce qui concerne les liens entre B______ SA et I______ SA. En effet, la citée n'a fourni aucune réponse aux questions du requérant sur ce point alors que, contrairement à ce qu'elle soutient, il a un intérêt légitime à obtenir les renseignements qu'il requiert. Selon la doctrine, les personnes chargées de la gestion d'une société sont tenues à une obligation de non-concurrence envers celle-ci. Le devoir de fidélité des administrateurs implique également qu'ils prennent toutes les mesures nécessaires pour protéger les intérêts de la société en cas de conflit d'intérêts potentiel. In casu, tous les administrateurs de la citée, à savoir E______, F______ et G______, sont également administrateurs de I______ SA, société créée après que le requérant ait quitté ses fonctions auprès de la citée, et qui a le même but social et le même siège que cette dernière. La fondation de cette société apparaît être en lien avec le conflit qui oppose les parties. La citée a d'ailleurs expressément admis dans ses écritures que I______ SA avait été constituée pour permettre d'accueillir de nouveaux gestionnaires de fortune, ce qui était devenu impossible pour elle en raison du fait que le requérant refusait de céder ses parts. A cela s'ajoute que l'augmentation de la perte subie par la société en 2019, laquelle paraît provenir de l'augmentation conséquente de ses charges, alors même que son chiffre d'affaires a évolué à la hausse, permet de retenir, au stade de la vraisemblance, qu'il est possible que les animateurs de la citée entendent vider celle-ci de sa substance et transférer une partie de son activité à I______ SA. L'existence d'un conflit entre actionnaires pourrait vraisemblablement être le motif à l'origine de cet état de fait. Il ressort de ce qui précède que le requérant a rendu vraisemblable un risque de conflit d'intérêts pour les administrateurs de la citée en lien avec la fondation, en décembre 2019, de I______ SA. Il aurait dès lors incombé à la citée de fournir au requérant des indications précises sur les mesures prises pour s'assurer que les intérêts de la citée étaient, dans ce cadre, dûment pris en considération. Or elle n'en a rien fait. Le fait que les informations requises soient en lien avec une société tierce n'est, contrairement à ce qu'elle prétend, pas un motif justificatif</w:t>
      </w:r>
    </w:p>
    <w:p>
      <w:r>
        <w:t>- 13/16 -</w:t>
      </w:r>
    </w:p>
    <w:p>
      <w:r>
        <w:t>C/17284/2020 puisque le conflit d'intérêts est susceptible de se concrétiser au détriment des activités commerciales de la citée. Celle-ci n'explique d'ailleurs pas concrètement en quoi cet élément l'empêcherait de répondre aux interrogations du requérant. Le seul fait que le requérant ait également exercé une activité de gestion de fortune au sein d'une autre société alors qu'il était administrateur de la citée est quant à lui dénué de pertinence dans le cadre du présent litige. Enfin, l'augmentation du chiffre d'affaires de la citée pour 2019 n'établit pas qu'il n'existe aucun risque de transfert d'activité au profit de I______ SA puisque celle- ci n'a été fondée qu'en décembre 2019. Une éventuelle violation de leurs obligations de fidélité par les administrateurs de la citée est en outre susceptible de causer un dommage au requérant puisqu'il existe un risque que, en cas de transfert d'activité vers I______ SA, la citée soit appauvrie et que les actions du requérant perdent de leur valeur. Il résulte de ce qui précède qu'il se justifie de nommer un expert indépendant chargé de répondre aux questions g) et h) du requérant concernant les liens contractuels entre B______ SA et I______ SA, ainsi qu'un éventuel transfert d'activité de la première à la seconde. Par contre, il n'y a pas lieu de poser à l'expert la question i), dans la mesure où les notions "d'activité concurrente" ou de "conflit d'intérêts" impliquent des jugements de valeur qui ne sont pas de la compétence de l'expert. Enfin, la question j) doit également être écartée, car elle n'est pas suffisamment précise. Il ressort de ce qui précède que la requête est partiellement fondée.</w:t>
      </w:r>
    </w:p>
    <w:p>
      <w:r>
        <w:t>La Cour nommera dès lors un contrôleur spécial en la personne de C______, Associé de la fiduciaire D______ SA et lui confiera la mission de répondre aux questions g) et h) posées par le requérant. Conformément à l'article 697g CO, les frais du contrôleur seront mis à la charge de la partie citée. Celle-ci sera d'ores et déjà condamnée à verser à C______ une première avance de 10'000 fr. Le contrôleur sera autorisé à solliciter de la partie citée des provisions régulières tant et aussi longtemps que son mandat n'aura pas pris fin.</w:t>
      </w:r>
    </w:p>
    <w:p>
      <w:r>
        <w:t>- 14/16 -</w:t>
      </w:r>
    </w:p>
    <w:p>
      <w:r>
        <w:t>C/17284/2020</w:t>
      </w:r>
    </w:p>
    <w:p>
      <w:r>
        <w:rPr>
          <w:b/>
        </w:rPr>
        <w:t>E. 4</w:t>
      </w:r>
    </w:p>
    <w:p>
      <w:r>
        <w:t>Condamne B______ SA à supporter les frais et honoraires du contrôleur spécial.</w:t>
      </w:r>
    </w:p>
    <w:p>
      <w:r>
        <w:rPr>
          <w:b/>
        </w:rPr>
        <w:t>E. 5</w:t>
      </w:r>
    </w:p>
    <w:p>
      <w:r>
        <w:t>Condamne B______ SA à verser au contrôleur spécial une provision en 10'000 fr. dès le prononcé du présent jugement.</w:t>
      </w:r>
    </w:p>
    <w:p>
      <w:r>
        <w:rPr>
          <w:b/>
        </w:rPr>
        <w:t>E. 6</w:t>
      </w:r>
    </w:p>
    <w:p>
      <w:r>
        <w:t>Autorise le contrôleur spécial à ne pas se mettre en œuvre avant le versement en ses mains de l’avance initiale de ses frais et honoraires.</w:t>
      </w:r>
    </w:p>
    <w:p>
      <w:r>
        <w:rPr>
          <w:b/>
        </w:rPr>
        <w:t>E. 7</w:t>
      </w:r>
    </w:p>
    <w:p>
      <w:r>
        <w:t>Autorise d'ores et déjà le contrôleur spécial à solliciter directement de B______ SA toute avance complémentaire nécessaire à la couverture des frais et honoraires de son activité, au fur et à mesure de l'accomplissement de celle-ci.</w:t>
      </w:r>
    </w:p>
    <w:p>
      <w:r>
        <w:rPr>
          <w:b/>
        </w:rPr>
        <w:t>E. 8</w:t>
      </w:r>
    </w:p>
    <w:p>
      <w:r>
        <w:t>Met à charge des parties à raison d'une moitié chacune les frais judiciaires, arrêtés à 2'000 fr. et compensés avec l'avance versée par A______, acquise à l'Etat de Genève. Condamne B______ SA à verser 1'000 fr. à A______ au titre des frais judiciaires.</w:t>
      </w:r>
    </w:p>
    <w:p>
      <w:r>
        <w:rPr>
          <w:b/>
        </w:rPr>
        <w:t>E. 9</w:t>
      </w:r>
    </w:p>
    <w:p>
      <w:r>
        <w:t>Dit qu'il n'est pas alloué de dépens.</w:t>
      </w:r>
    </w:p>
    <w:p>
      <w:r>
        <w:rPr>
          <w:b/>
        </w:rPr>
        <w:t>E. 10</w:t>
      </w:r>
    </w:p>
    <w:p>
      <w:r>
        <w:t>Déboute les parties de toutes autres conclusions.</w:t>
      </w:r>
    </w:p>
    <w:p>
      <w:r>
        <w:t>- 16/16 -</w:t>
      </w:r>
    </w:p>
    <w:p>
      <w:r>
        <w:t>C/17284/2020 Siégeant : Monsieur Laurent RIEBEN, président; Monsieur Patrick CHENAUX, Madame Fabienne GEISINGER-MARIETHOZ,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