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ACJC/1623/2016 vom 12. Dezember 2016</w:t>
      </w:r>
    </w:p>
    <w:p>
      <w:r>
        <w:t>GE Cour de justice, 2016-12-12, FR</w:t>
      </w:r>
    </w:p>
    <w:p>
      <w:r>
        <w:rPr>
          <w:b/>
        </w:rPr>
        <w:t xml:space="preserve">Quelle: </w:t>
      </w:r>
      <w:r>
        <w:t>https://mcp.opencaselaw.ch/entscheid/ge_gerichte_ACJC_1623_2016</w:t>
      </w:r>
    </w:p>
    <w:p>
      <w:r>
        <w:t>FR: GE_GERICHTE ACJC/1623/2016 du 12 décembre 2016</w:t>
      </w:r>
    </w:p>
    <w:p>
      <w:r>
        <w:t>IT: GE_GERICHTE ACJC/1623/2016 del 12 dicembre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- 9/13 -</w:t>
      </w:r>
    </w:p>
    <w:p>
      <w:r>
        <w:t>C/10559/2015 de protection de trois ans dès la fin de la procédure judiciaire qui est prévue par l'art. 271a al. 1 let. e CO (ATF 137 III 389 consid. 1.1; 136 III 196 consid. 1.1).</w:t>
      </w:r>
    </w:p>
    <w:p>
      <w:r>
        <w:rPr>
          <w:b/>
        </w:rPr>
        <w:t>E. 1.2</w:t>
      </w:r>
    </w:p>
    <w:p>
      <w:r>
        <w:t>En l'espèce, le loyer annuel de l’appartement, charges comprises, s’élève à 14'952 fr.</w:t>
      </w:r>
    </w:p>
    <w:p>
      <w:r>
        <w:t>En prenant en compte uniquement la durée de protection de trois ans et le montant du loyer, charges comprises, la valeur litigieuse est largement supérieure à 10'000 fr. (14'952 fr. x 3 = 44'856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En l’espèce, les pièces nouvellement produites par l’intimée sont des courriels envoyés entre le 31 mai et le 5 septembre 2016 par G.______ à la régie, soit postérieurement au 27 mai 2016, date où la cause a été gardée à juger devant le Tribunal. Ces pièces et les faits qu’elles contiennent sont recevables, dans la mesure où l’intimée ne pouvait pas produire celles-ci auparavant. L’intimée a donc fait preuve de la diligence requise, les ayant produites sans retard.</w:t>
      </w:r>
    </w:p>
    <w:p>
      <w:r>
        <w:rPr>
          <w:b/>
        </w:rPr>
        <w:t>E. 3</w:t>
      </w:r>
    </w:p>
    <w:p>
      <w:r>
        <w:t>L’appelant fait griefs aux premiers juges d’avoir mal établi les faits et violé l’article 257f al. 3 CO. Selon lui, la régie a, à tort, omis de l’informer de la deuxième plainte de ses voisins du 3 avril 2015, ne lui permettant pas d’adapter son comportement en conséquence avant la résiliation du contrat de bail. La procédure n’avait pas permis de prouver le maintien insupportable du bail, les témoins entendus par le Tribunal ayant été moins véhéments que le contenu des pétitions. Ayant entrepris les démarches pour se soigner, la situation était rétablie, de sorte qu’il ne provoquait plus de nuisances.</w:t>
      </w:r>
    </w:p>
    <w:p>
      <w:r>
        <w:t>- 10/13 -</w:t>
      </w:r>
    </w:p>
    <w:p>
      <w:r>
        <w:t>C/10559/2015</w:t>
      </w:r>
    </w:p>
    <w:p>
      <w:r>
        <w:rPr>
          <w:b/>
        </w:rPr>
        <w:t>E. 3.1</w:t>
      </w:r>
    </w:p>
    <w:p>
      <w:r>
        <w:t>Aux termes de l’art. 257f al. 1 et 2 CO, le locataire est tenu d'user de la chose louée avec le soin nécessaire et, s'il s'agit d'un bien immobilier, d'avoir pour les personnes habitant la maison et pour les voisins les égards qui leur sont dus.</w:t>
      </w:r>
    </w:p>
    <w:p>
      <w:r>
        <w:t>C’est une dette portant sur une prestation négative qui pèse sur le locataire : en clair, il doit s’abstenir de causer des nuisances excessives dans l’exécution du bail, en portant atteinte aux intérêts protégés – par la loi ou par un contrat – de tiers usagers ou voisins de l’immeuble en cause. Les nuisances en question ici consistent notamment dans des nuisances sonores en tout genre, comme du tapage ou de la musique nocturne (WESSNER, in BOHNET/MONTINI, CPra-Bail, n. 25 et 26 ad art. 257f CO et références).</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4C.270/2001 du 26 novembre 2001 consid. 3a).</w:t>
      </w:r>
    </w:p>
    <w:p>
      <w:r>
        <w:t>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w:t>
      </w:r>
    </w:p>
    <w:p>
      <w:r>
        <w:t>- 11/13 -</w:t>
      </w:r>
    </w:p>
    <w:p>
      <w:r>
        <w:t>C/10559/2015</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3.2</w:t>
      </w:r>
    </w:p>
    <w:p>
      <w:r>
        <w:t>En l’espèce, les premiers juges ont relevé à juste titre que, moins de deux mois après la conclusion du contrat de bail entre les parties, les voisins de l’appelant ont signé une pétition collective à son encontre, faisant état d'un volume excessif de la musique du locataire de jour comme de nuit, du fait que ce dernier claquait sa porte palière et dérangeait ses voisins à toute heure de la nuit.</w:t>
      </w:r>
    </w:p>
    <w:p>
      <w:r>
        <w:t>La mise en demeure de la bailleresse du 25 février 2015 n’a pas empêché l’appelant de réitérer ses agissements jusqu’à la résiliation du contrat de bail donnée moins de trois mois plus tard le 7 mai 2015, comme en attestent les deux nouvelles plaintes des 3 avril et 21 avril 2015. A chaque fois, ce sont les mêmes comportements qui ont été reprochés à l’appelant.</w:t>
      </w:r>
    </w:p>
    <w:p>
      <w:r>
        <w:t>Les déclarations des témoins ont permis d’établir l’ensemble des comportements reprochés. L’appelant les a d’ailleurs admis, à tout le moins en partie. Ainsi, le maintien insupportable du bail au moment de la notification du congé a été démontré et, contrairement à ce que soutient l’appelant, la régie n’avait aucune obligation de l’informer de la deuxième plainte de ses voisins du 3 avril 2015.</w:t>
      </w:r>
    </w:p>
    <w:p>
      <w:r>
        <w:t>Les explications de l’appelant, selon lesquelles il a connu une période difficile sur le plan personnel, victime d’un burn out et d’une agression sexuelle ayant entraîné des problèmes liés à une consommation d’alcool et de médicaments, ne modifient pas cette appréciation.</w:t>
      </w:r>
    </w:p>
    <w:p>
      <w:r>
        <w:t>Même si une accalmie a pu être constatée dans les premiers mois de l’année 2016, ni la résiliation du contrat de bail du 7 mai 2015, ni la procédure devant le Tribunal, ni le jugement querellé n’ont eu d’effet sur le locataire, celui-ci ayant continué à adopter le même comportement inapproprié et contraire à son devoir de diligence, nécessitant même l’intervention à plusieurs reprises de la police, ce qui a été confirmé notamment par les témoins et les courriels de G.______, dont le dernier date du 5 septembre 2016.</w:t>
      </w:r>
    </w:p>
    <w:p>
      <w:r>
        <w:t>- 12/13 -</w:t>
      </w:r>
    </w:p>
    <w:p>
      <w:r>
        <w:t>C/10559/2015</w:t>
      </w:r>
    </w:p>
    <w:p>
      <w:r>
        <w:t>Même s’il soutient le contraire, l’appelant n’a pas pris conscience de la problématique et ses suivis médicaux n’ont pas permis de lui faire adopter un comportement compatible avec la continuation du bail en question.</w:t>
      </w:r>
    </w:p>
    <w:p>
      <w:r>
        <w:t>Au vu de ce qui précède, les premiers juges ont correctement établi les faits et n’ont pas violé l’article 257f al. 3 CO, de sorte que les griefs de l’appelant seront rejetés et le jugement querellé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C/10559/2015 PAR CES MOTIFS, La Chambre des baux et loyers : A la forme : Déclare recevable l'appel interjeté le 25 août 2016 par A.______ contre le jugement JTBL/595/2016 rendu le 22 juin 2016 par le Tribunal des baux et loyers dans la cause C/10559/2015-3-OSB.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