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ACJC/1622/2016 vom 2. März 2016</w:t>
      </w:r>
    </w:p>
    <w:p>
      <w:r>
        <w:t>GE Cour de justice, 2016-03-02, FR</w:t>
      </w:r>
    </w:p>
    <w:p>
      <w:r>
        <w:rPr>
          <w:b/>
        </w:rPr>
        <w:t xml:space="preserve">Quelle: </w:t>
      </w:r>
      <w:r>
        <w:t>https://mcp.opencaselaw.ch/entscheid/ge_gerichte_ACJC_1622_2016</w:t>
      </w:r>
    </w:p>
    <w:p>
      <w:r>
        <w:t>FR: GE_GERICHTE ACJC/1622/2016 du 2 mars 2016</w:t>
      </w:r>
    </w:p>
    <w:p>
      <w:r>
        <w:t>IT: GE_GERICHTE ACJC/1622/2016 del 2 marzo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w:t>
      </w:r>
    </w:p>
    <w:p>
      <w:r>
        <w:rPr>
          <w:b/>
        </w:rPr>
        <w:t>E. 1.2</w:t>
      </w:r>
    </w:p>
    <w:p>
      <w:r>
        <w:t>En l'espèce, le loyer mensuel de l’appartement s’élève à 1’580 fr.</w:t>
      </w:r>
    </w:p>
    <w:p>
      <w:r>
        <w:t>En prenant en compte uniquement la durée de protection de trois ans et le montant du loyer, la valeur litigieuse est supérieure à 10'000 fr. (1’580 fr. x 12 mois x 3 ans = 56'880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 pose la question de la recevabilité des déterminations de l’appelant du 17 août 2017 sur la duplique de l’intimé du 20 juin 2016, communiquée par le</w:t>
      </w:r>
    </w:p>
    <w:p>
      <w:r>
        <w:t>- 8/12 -</w:t>
      </w:r>
    </w:p>
    <w:p>
      <w:r>
        <w:t>C/6056/2015 greffe de la Cour en même temps qu’il informait l’appelant de ce que la cause était gardée à juger.</w:t>
      </w:r>
    </w:p>
    <w:p>
      <w:r>
        <w:rPr>
          <w:b/>
        </w:rPr>
        <w:t>E. 2.2</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(ATF 137 I 195 consid. 1 et les références citées).</w:t>
      </w:r>
    </w:p>
    <w:p>
      <w:r>
        <w:rPr>
          <w:b/>
        </w:rPr>
        <w:t>E. 2.3</w:t>
      </w:r>
    </w:p>
    <w:p>
      <w:r>
        <w:t>En l’espèce, les déterminations de l’appelant du 17 août 2016 sont recevables, en tant qu'elles se rapportent à la duplique et la pièce nouvelle de l’intimé communiquées à l’appelant par le greffe de la Cour par courrier du 16 août 2016. Ces déterminations ont donc été expédiées au greffe de la Cour par l’appelant le jour de la réception de ce courrier et l’intimé ne conteste d’ailleurs pas leur recevabilité.</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3.2</w:t>
      </w:r>
    </w:p>
    <w:p>
      <w:r>
        <w:t>En l'espèce, le procès-verbal de l’Assemblée générale ordinaire du 21 avril 2016 de la PPE E._______, ainsi que le courriel du 6 avril 2016 entre I.______ et J.______ Sàrl sont recevables, en tant qu’ils ont été déposés sans retard. Les autres pièces produites, qui ne respectent pas les conditions précitées, sont irrecevables, ainsi que les allégués de fait s'y rapportant.</w:t>
      </w:r>
    </w:p>
    <w:p>
      <w:r>
        <w:t>L’annonce de location tirée le 31 mai 2016 du site internet F.______ produite par l’intimé à l’appui de sa duplique, sera quant à elle intégrée à la procédure. Cette pièce nouvelle a été produite sans retard, puisqu’elle est postérieure au mémoire de réponse à l’appel de l’intimé du 9 mai 2016.</w:t>
      </w:r>
    </w:p>
    <w:p>
      <w:r>
        <w:rPr>
          <w:b/>
        </w:rPr>
        <w:t>E. 4</w:t>
      </w:r>
    </w:p>
    <w:p>
      <w:r>
        <w:t>L’appelant fait grief aux premiers juges d’avoir considéré que le congé notifié à l’intimé n’était pas à même de lui permettre de satisfaire son besoin de relogement, alors que les travaux de surélévation ne débuteraient qu’après son relogement. Selon l’appelant, le congé ne présentait pas de disproportion manifeste des intérêts en présence. Il avait spontanément indiqué en toute transparence les motifs de son besoin et le caractère temporaire de celui-ci, soit le temps des travaux de l’immeuble où il habitait.</w:t>
      </w:r>
    </w:p>
    <w:p>
      <w:r>
        <w:t>- 9/12 -</w:t>
      </w:r>
    </w:p>
    <w:p>
      <w:r>
        <w:t>C/6056/2015</w:t>
      </w:r>
    </w:p>
    <w:p>
      <w:r>
        <w:rPr>
          <w:b/>
        </w:rPr>
        <w:t>E. 4.1</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w:t>
      </w:r>
    </w:p>
    <w:p>
      <w:r>
        <w:rPr>
          <w:b/>
        </w:rPr>
        <w:t>E. 4.2</w:t>
      </w:r>
    </w:p>
    <w:p>
      <w:r>
        <w:t>En l’espèce, l’appelant a motivé la résiliation du contrat de bail à loyer de l’intimé par son besoin propre. Il a démontré chercher à se reloger dans l’appartement litigieux du fait des importants travaux de surélévation de l’immeuble de la rue E.______, touchant directement son appartement actuel et l’obligeant ainsi à quitter celui-ci. Il a notamment fourni les plans et la décision de l’assemblée générale de la PPE E.______ du 25 juin 2015 autorisant ces travaux, et la faisabilité de ceux-ci ne semble à première vue pas poser de problème particulier. L’intimé n’a d’ailleurs pas fait valoir d’arguments allant dans le sens contraire sur ce dernier point. La procédure a également permis d’établir que l’appartement litigieux est le seul de quatre pièces à Genève appartenant à l’appelant. Ce dernier a donc établi avoir un besoin actuel, sérieux et concret de relogement dans l’appartement litigieux.</w:t>
      </w:r>
    </w:p>
    <w:p>
      <w:r>
        <w:t>Contrairement à l’avis des premiers juges, il n’y a pas de lieu de considérer que le congé consacre une disproportion manifeste des intérêts en présence, même en prenant en compte le fait que le bailleur n’aurait besoin de l’appartement concerné que temporairement pour une période de 12 à 15 mois. Rien ne démontre en effet que l’intimé ne serait pas en mesure de trouver un nouvel appartement à ______ et, même si cela eut été plus agréable pour celui-ci, il n’y a pas une nécessité que tel soit le cas du fait que sa fille était alors âgée de 13 ans à l’époque de la résiliation du bail, respectivement de 14 ans à l’échéance de celui-ci, de sorte qu’elle pouvait se déplacer. L’absence d’aisance financière de l’intimé en 2014 (bénéfice de 27'100 fr.) n’était pas de nature à réduire à néant ses recherches de relogement, du fait qu’il a admis que ses affaires semblaient mieux se présenter pour 2015 et qu’il avait fait état d’un bénéfice de 62'877 fr. 90 pour l’année 2013.</w:t>
      </w:r>
    </w:p>
    <w:p>
      <w:r>
        <w:t>- 11/12 -</w:t>
      </w:r>
    </w:p>
    <w:p>
      <w:r>
        <w:t>C/6056/2015 A cela s’ajoute le fait qu’il appartient au Tribunal de trancher si l’intimé peut bénéficier d’une prolongation du bail au vu des circonstances du cas d’espèce (cf. consid. 5. ci-après).</w:t>
      </w:r>
    </w:p>
    <w:p>
      <w:r>
        <w:t>Contrairement à ce qu’ont retenu les premiers juges, il n’est pas établi que le congé ne permettrait pas à l'appelant de satisfaire le besoin allégué même en cas de prolongation du bail, du fait que les travaux de surélévation ne débuteront qu’une fois l’appelant relogé, bien que son projet soit dans un état avancé.</w:t>
      </w:r>
    </w:p>
    <w:p>
      <w:r>
        <w:t>Par conséquent, le congé notifié à l'intimé le 24 février 2016 sera validé. 5. Au vu de la validation du congé susmentionnée, la Cour renverra la cause au Tribunal, afin que celui-ci statue sur la requête en prolongation de bail de l’intimé.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C/6056/2015 PAR CES MOTIFS, La Chambre des baux et loyers : A la forme : Déclare recevable l'appel interjeté le 6 avril 2016 par A.______ contre le jugement JTBL/186/2016 rendu le 2 mars 2016 par le Tribunal des baux et loyers dans la cause C/6056/2015-5. Au fond : Annule le jugement précité. Cela fait et statuant à nouveau : Déclare valable le congé notifié le 24 février 2015 à B.______ pour le 31 décembre 2015 concernant l’appartement de 4 pièces au 1er étage de l’immeuble sis C.______. Renvoie la cause au Tribunal des baux et loyers pour nouvelle décision dans le sens des considérants. Dit que la procédure est gratuite. Siégeant : Madame Nathalie LANDRY-BARTHE, présidente; Madame Sylvie DROIN et Monsieur Laurent RIEBEN, juges; Monsieur Thierry STICHER et Monsieur Nicolas DAUDIN,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9</w:t>
      </w:r>
    </w:p>
    <w:p>
      <w:r>
        <w:t>septembre 2015 consid. 4.1).</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 6 ad art. 271 CO). La notion de bonne foi ne se confond pas avec les justes motifs des art. 257f ou 266g CO (BARBEY, Commentaire du droit du bail, 1991, n.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w:t>
      </w:r>
    </w:p>
    <w:p>
      <w:r>
        <w:t>La jurisprudence reconnaît au bailleur le droit de disposer de son bien de la manière qu'il juge la plus conforme à ses intérêts (arrêt du Tribunal fédéral 4A_557/2009 du 23 mars 2010 consid. 3; BARBEY, op. cit., n. 36, p. 120).</w:t>
      </w:r>
    </w:p>
    <w:p>
      <w:r>
        <w:t>Lorsque le congé est motivé par une volonté réelle d’effectuer de lourds travaux de rénovation de la chose louée dont la nécessité est établie, l’article 271 CO ne subordonne pas la validité du congé à l’obtention des autorisations administratives nécessaires, ni même au dépôt des pièces permettant de prononcer l’autorisation.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du Tribunal fédéral 4A.518/2010 du 16 décembre 2010 consid. 2.6).</w:t>
      </w:r>
    </w:p>
    <w:p>
      <w:r>
        <w:t>- 10/12 -</w:t>
      </w:r>
    </w:p>
    <w:p>
      <w:r>
        <w:t>C/6056/2015</w:t>
      </w:r>
    </w:p>
    <w:p>
      <w:r>
        <w:t>Le bien-fondé de la résiliation doit être apprécié au moment où son auteur manifeste sa volonté de mettre un terme au contrat (LACHAT, op. cit., n.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Tribunal fédéral 4A_518/2010 du 16 décembre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