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ACJC/1620/2020 vom 18. November 2020</w:t>
      </w:r>
    </w:p>
    <w:p>
      <w:r>
        <w:t>GE Cour de justice, 2020-11-18, FR</w:t>
      </w:r>
    </w:p>
    <w:p>
      <w:r>
        <w:rPr>
          <w:b/>
        </w:rPr>
        <w:t xml:space="preserve">Quelle: </w:t>
      </w:r>
      <w:r>
        <w:t>https://mcp.opencaselaw.ch/entscheid/ge_gerichte_ACJC_1620_2020</w:t>
      </w:r>
    </w:p>
    <w:p>
      <w:r>
        <w:t>FR: GE_GERICHTE ACJC/1620/2020 du 18 novembre 2020</w:t>
      </w:r>
    </w:p>
    <w:p>
      <w:r>
        <w:t>IT: GE_GERICHTE ACJC/1620/2020 del 18 novembre 2020</w:t>
      </w:r>
    </w:p>
    <w:p>
      <w:pPr>
        <w:pStyle w:val="Heading2"/>
      </w:pPr>
      <w:r>
        <w:t>Erwägungen</w:t>
      </w:r>
    </w:p>
    <w:p>
      <w:r>
        <w:rPr>
          <w:b/>
        </w:rPr>
        <w:t>E. 1.1</w:t>
      </w:r>
    </w:p>
    <w:p>
      <w:r>
        <w:t>A teneur de l'art. 5 al. 1 CPC, le droit cantonal institue la juridiction compétente pour statuer en instance cantonale unique sur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 Selon l'art. 120 al. 1 LOJ, la chambre civile de la Cour de justice exerce les compétences que le CPC attribue à la juridiction cantonale unique.</w:t>
      </w:r>
    </w:p>
    <w:p>
      <w:r>
        <w:t>- 4/6 -</w:t>
      </w:r>
    </w:p>
    <w:p>
      <w:r>
        <w:t>C/23019/2020 Le requérant allègue un préjudice d'au moins 50'000 fr., lequel peut être pris en compte à ce stade. La Cour est par conséquent compétente ratione materiae pour examiner le litige. La Cour paraît par ailleurs également compétente ratione loci, la citée ayant son siège à Genève.</w:t>
      </w:r>
    </w:p>
    <w:p>
      <w:r>
        <w:rPr>
          <w:b/>
        </w:rPr>
        <w:t>E. 2</w:t>
      </w:r>
    </w:p>
    <w:p>
      <w:r>
        <w:t>La requérante soutient que la citée capte ses clients ou propects au gré de ses actes de concurrence déloyale, ce qui lui cause un préjudice irréparable car sa survie économique est mise en danger.</w:t>
      </w:r>
    </w:p>
    <w:p>
      <w:r>
        <w:rPr>
          <w:b/>
        </w:rPr>
        <w:t>E. 2.1</w:t>
      </w:r>
    </w:p>
    <w:p>
      <w:r>
        <w:t>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En cas d'urgence particulière, notamment s'il y a risque d'entrave à leur exécution, le tribunal peut ordonner des mesures provisionnelles immédiatement, sans entendre la partie adverse (art. 265 al. 1 CPC).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Commentaire romand, Code de procédure civile, 2ème éd., 2019, n. 4 ad art. 265 CPC). Une urgence particulière suppose que le but recherché ne puisse pas être atteint s'il fallait attendre jusqu'à ce qu'une décision soit rendue sur mesures provisionnelles.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3ème éd., 2017, n. 10, 11 et 11a ad art. 265 CPC).</w:t>
      </w:r>
    </w:p>
    <w:p>
      <w:r>
        <w:rPr>
          <w:b/>
        </w:rPr>
        <w:t>E. 2.2</w:t>
      </w:r>
    </w:p>
    <w:p>
      <w:r>
        <w:t>En l'espèce, la requérante n'a pas rendu vraisemblable que certains de ses clients seraient sur le point de passer une commande à la citée et qu'elle risquait ainsi de les perdre de manière imminente. Elle invoque le nom de deux clients qui ont cessé de lui passer des commandes, mais en se référant à des relations</w:t>
      </w:r>
    </w:p>
    <w:p>
      <w:r>
        <w:t>- 5/6 -</w:t>
      </w:r>
    </w:p>
    <w:p>
      <w:r>
        <w:t>C/23019/2020 commerciales qu'elle a entretenues avec ceux-ci en 2013 et 2014, soit avant que les cités n'adoptent le comportement qui leur est reproché. Elle n'a par ailleurs pas produit, par exemple, de courrier d'un client qui lui indiquerait qu'il renonçait à s'adresser à elle, étant relevé qu'elle ne dispose pas, selon l'extrait de son site internet qu'elle a produit avec sa requête, que de quelques clients, mais de plus de 300. L'appelante n'a dès lors pas rendu vraisemblable que le prononcé de mesures superprovisionnelles, avant audition des cités, était nécessaire afin de prévenir le préjudice qu'elle invoque, à savoir la mise en péril de sa survie économique. La requérante n'a par ailleurs pas rendu vraisemblable que les cités seraient susceptibles de révéler à des tiers le processus de fabrication revendiqué et on ne voit d'ailleurs pas quel serait leur intérêt de le faire. Au vu de ce qui précède, la requérante n'a pas rendu vraisemblable que les mesures requises devaient être prononcées à titre superprovisionnel, avant audition des parties citées, en raison d'une urgence particulière.</w:t>
      </w:r>
    </w:p>
    <w:p>
      <w:r>
        <w:rPr>
          <w:b/>
        </w:rPr>
        <w:t>E. 3</w:t>
      </w:r>
    </w:p>
    <w:p>
      <w:r>
        <w:t>Il sera statué sur les frais de la présente décision dans la décision sur mesures provisionnelles * * * * *</w:t>
      </w:r>
    </w:p>
    <w:p>
      <w:r>
        <w:t>- 6/6 -</w:t>
      </w:r>
    </w:p>
    <w:p>
      <w:r>
        <w:t>C/23019/2020 PAR CES MOTIFS, La Chambre civile : Statuant sur mesures superprovisionnelles: Rejette la requête de mesures superprovisionnelles formée le 16 novembre 2020 par A______ SA contre B______ SA et C______. Dit qu'il sera statué sur les frais de la présente décision dans la décision sur mesures provisionnelles. Cela fait et statuant préparatoirement : Impartit à B______ SA et C______ un délai de dix jours dès la notification de la présente décision pour répondre par écrit à la requête de mesures provisionnelles formée par A______ SA. Siégeant : Monsieur Laurent RIEBEN, président; Monsieur Patrick CHENAUX, Madame Fabienne GEISINGER-MARIETHOZ, juges; Madame Sophie MARTINEZ,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