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ACJC/161/2022 vom 3. Februar 2022</w:t>
      </w:r>
    </w:p>
    <w:p>
      <w:r>
        <w:t>GE Cour de justice, 2022-02-03, FR</w:t>
      </w:r>
    </w:p>
    <w:p>
      <w:r>
        <w:rPr>
          <w:b/>
        </w:rPr>
        <w:t xml:space="preserve">Quelle: </w:t>
      </w:r>
      <w:r>
        <w:t>https://mcp.opencaselaw.ch/entscheid/ge_gerichte_ACJC_161_2022</w:t>
      </w:r>
    </w:p>
    <w:p>
      <w:r>
        <w:t>FR: GE_GERICHTE ACJC/161/2022 du 3 février 2022</w:t>
      </w:r>
    </w:p>
    <w:p>
      <w:r>
        <w:t>IT: GE_GERICHTE ACJC/161/2022 del 3 febbraio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est recevable.</w:t>
      </w:r>
    </w:p>
    <w:p>
      <w:r>
        <w:rPr>
          <w:b/>
        </w:rPr>
        <w:t>E. 1.3</w:t>
      </w:r>
    </w:p>
    <w:p>
      <w:r>
        <w:t>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la maxime des débats s'applique et la preuve des faits allégués doit être apportée par titre (art. 55 al. 1, 255 let. a a contrario et 254 CPC). Le principe de disposition est applicable (art. 58 al. 1 CPC). 1.4.1 Les conclusions, les allégations et les pièces nouvelles sont irrecevables (art. 326 al. 1 CPC). 1.4.2 En vertu du devoir d'interpellation du juge (art. 56 CPC), il appartient au Tribunal d'attirer l'attention de la partie requérante sur l'insuffisance des titres</w:t>
      </w:r>
    </w:p>
    <w:p>
      <w:r>
        <w:t>- 5/12 -</w:t>
      </w:r>
    </w:p>
    <w:p>
      <w:r>
        <w:t>C/3591/2021 déposés avec la requête (cf. ABBET, La mainlevée de l'opposition, 2017, n. 57 ad art. 84 LP). Comme il n’y a pas d’obligation à être représenté devant les tribunaux suisses (art. 69 CPC), le devoir d’interpellation devrait permettre à une partie sans connaissances juridiques d’agir seule, en atténuant les rigueurs de la maxime des débats. Le juge devrait ainsi avoir un rôle actif, non seulement dans l’organisation de la procédure, mais également dans la recherche de la vérité matérielle (CHABLOZ, Commentaire romand, Code de procédure civile, 2ème éd. 2019, n. 1 ad art. 56 CPC). En pratique, le devoir d’interpellation de l’art. 56 CPC s’applique à toutes les procédures ordinaires et sommaires soumises à la maxime des débats (CHABLOZ, op. cit., n. 3 ad art. 56 CPC). 1.4.3 Dans le présent cas, la recourante, qui a comparu en personne en première instance jusqu'à l'audience du Tribunal, n'a produit que les pages impaires du contrat de vente. Compte tenu de ce qui précède et du fait qu'il pouvait être aisément constaté que les pages paires de ce contrat étaient manquantes – pièce cruciale du dossier, dès lors qu'il s'agit d'une procédure sur titre – le Tribunal a violé son devoir d'interpellation. La pièce n. 6 produite, comportant l'intégralité du texte du contrat, sera dès lors admise à la procédure. Les pièces n. 2 et 3 constituent des faits notoires (extraits du Registre du commerce). En revanche, la pièce n. 7 est irrecevable, de même que les allégations nouvelles de la recourante.</w:t>
      </w:r>
    </w:p>
    <w:p>
      <w:r>
        <w:rPr>
          <w:b/>
        </w:rPr>
        <w:t>E. 2</w:t>
      </w:r>
    </w:p>
    <w:p>
      <w:r>
        <w:t>L'intimé a sollicité la restitution du délai pour répondre au recours.</w:t>
      </w:r>
    </w:p>
    <w:p>
      <w:r>
        <w:rPr>
          <w:b/>
        </w:rPr>
        <w:t>E. 2.1</w:t>
      </w:r>
    </w:p>
    <w:p>
      <w:r>
        <w:t>Aux termes de l'art. 322 al. 1 et 2 CPC, l'instance de recours notifie le recours à la partie adverse pour qu'elle se détermine par écrit dans un délai de 10 jours pour les décisions prises en procédure sommaire. Le délai de réponse au recours est un délai légal qui n'est par conséquent pas susceptible d'être prolongé (art. 321 al. 1 et 2 et 322 al. 1 et 2 CPC, en lien avec l'art. 144 al. 1 CPC; ATF 141 III 554 consid. 2; arrêt du Tribunal fédéral 5A_807/2012 du 6 février 2013 consid. 5.3). 2.2.1 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w:t>
      </w:r>
    </w:p>
    <w:p>
      <w:r>
        <w:t>- 6/12 -</w:t>
      </w:r>
    </w:p>
    <w:p>
      <w:r>
        <w:t>C/3591/2021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4A_52/2019 du 20 mars 2019 consid. 3.1; 5A_927/2015 du 22 décembre 2015 consid. 5.1 et les références).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(arrêts du Tribunal fédéral 4A_52/2019 du 20 mars 2019 consid. 3.1; 4A_163/2015 précité consid. 4.1; 5A_927/2015 précité consid. 5.1; 5A_94/2015 précité consid. 6.1). Contrairement à l'art. 144 CPC relatif à la prolongation de délai, l'art. 148 CPC n'exclut pas la restitution d'un délai légal (arrêts du Tribunal fédéral 5A_280/2020 du 8 juillet 2020 consid. 3.1.1; 5A_890/2019 du 9 décembre 2019 consid. 3; TAPPY, in Commentaire romand, Code de procédure civile, 2ème éd., 2019, n. 8 ad art. 148 CPC; GOZZI, Basler Kommentar ZPO, 3ème éd., 2017, n. 6 ad art. 148 CPC; STAEHELIN, Kommentar zur Schweizerischen Zivilprozessordnung, Sutter-Somm/Hasenböhler/Leuenberger, 2016, n. 5 et 15 ad art. 148 CPC).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w:t>
      </w:r>
    </w:p>
    <w:p>
      <w:r>
        <w:t>Une maladie subite (ou un accident) d'une certaine gravité qui empêche la partie de se présenter ou de prendre à temps les dispositions nécessaires peut justifier une restitution de délai (arrêts du Tribunal fédéral 5A_280/2020 précité, ibid; 4A_163/2015 du 12 octobre 2015 consid. 4.1 et l'arrêt cité; TAPPY, op. cit., n. 14 ad art. 148 CPC; GOZZI, op. cit., n. 20 ad art. 148 CPC). Seule la maladie survenant à la fin du délai de recours et empêchant la partie de défendre elle- même ses intérêts, ainsi que de recourir à temps aux services d'un tiers, constitue un empêchement non fautif (ATF 119 II 86 consid. 2b; 112 V 255 consid. 2a; COLOMBINI, Code de procédure civile, 2018, n. 1.3.2.3.2 ad art. 148 CPC). La requête est présentée dans les dix jours qui suivent celui où la cause du défaut a disparu (art. 148 al. 2 CPC). Si une décision a été communiquée, la restitution ne peut être requise que dans les six mois qui suivent l'entrée en force de la décision (art. 148 al. 2 et 3 CPC).</w:t>
      </w:r>
    </w:p>
    <w:p>
      <w:r>
        <w:t>- 7/12 -</w:t>
      </w:r>
    </w:p>
    <w:p>
      <w:r>
        <w:t>C/3591/2021 2.2.2 En l'espèce, l'intimé a reçu le pli de la Cour lui impartissant un délai de 10 jours pour répondre au recours le 13 novembre 2021. La réponse devait dès lors être déposée le 23 novembre 2021 au plus tard. A teneur des allégués de l'intimé, il a ce jour-là en fin d'après-midi consulté son avocat. Il incombait à ce dernier, qui ne pouvait ignorer qu'un délai légal pour répondre à un recours n'est pas prolongeable, de s'employer à déposer une réponse plutôt que de rédiger un courrier posté le 23 novembre 2021, voué à l'échec, ou de s'enquérir des raisons qui auraient pu empêcher l'intimé de le consulter avant l'échéance du délai pour former cas échéant une demande de restitution. A cet égard, l'intimé ne fait valoir aucune circonstance dont résulterait que le défaut serait dû à une faute légère ou à une absence de faute. Il appartenait en effet à l'intimé de prendre les dispositions nécessaires afin de consulter un avocat dès réception du courrier de la Cour ou à tout le moins avant l'échéance du délai qu'il savait fixée au 23 novembre 2021, ce qu'il n'a pas fait. Par conséquent, la requête de restitution est infondée, de sorte qu'elle sera rejetée. La cause est ainsi en état d'être jugée.</w:t>
      </w:r>
    </w:p>
    <w:p>
      <w:r>
        <w:rPr>
          <w:b/>
        </w:rPr>
        <w:t>E. 3</w:t>
      </w:r>
    </w:p>
    <w:p>
      <w:r>
        <w:t>La recourante reproche au Tribunal de ne pas avoir prononcé la mainlevée provisoire de l'opposition.</w:t>
      </w:r>
    </w:p>
    <w:p>
      <w:r>
        <w:rPr>
          <w:b/>
        </w:rPr>
        <w:t>E. 3.1</w:t>
      </w:r>
    </w:p>
    <w:p>
      <w:r>
        <w:t>Selon l'art. 82 al. 1 LP, le créancier dont la poursuite se fonde sur une reconnaissance de dette constatée par acte authentique ou sous seing privé peut requérir la mainlevée provisoire. Le juge de la mainlevée provisoire doit vérifier d'office notamment l'existence matérielle d'une reconnaissance de dette (ATF 142 III 720 consid. 4.1 et la référence; 139 III 444 consid. 4.1.1, et les références; arrêts du Tribunal fédéral 5A_940/2020 du 27 janvier 2021 consid. 3.1;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bilatéral ne vaut ainsi reconnaissance de dette que si le poursuivant a rempli ou garanti les obligations légales ou contractuelles exigibles avant le paiement dont il requiert le recouvrement, ou au moment de ce paiement</w:t>
      </w:r>
    </w:p>
    <w:p>
      <w:r>
        <w:t>- 8/12 -</w:t>
      </w:r>
    </w:p>
    <w:p>
      <w:r>
        <w:t>C/3591/2021 (GILLIERON, op. cit., n. 45 ad art. 82 LP), c'est-à-dire s'il a exécuté ou offert d'exécuter sa propre prestation en rapport d'échange (ATF 116 III 72; arrêt du Tribunal fédéral 5A_1017/2017 du 12 septembre 2018 consid. 4.4.1). La question de la fourniture de la prestation du poursuivant ne constitue donc pas à un moyen libératoire au sens de l'art. 82 al. 2 LP que le débiteur devrait rendre vraisemblable. Elle relève de la contestation d'une exigence mise à l'admission d'un contrat bilatéral parfait comme titre de mainlevée provisoire au sens de l'art. 82 al. 1 LP (arrêt du Tribunal fédéral 5A_1017/2017 précité consid. 4.3.2 et 4.3.3).</w:t>
      </w:r>
    </w:p>
    <w:p>
      <w:r>
        <w:rPr>
          <w:b/>
        </w:rPr>
        <w:t>E. 3.2</w:t>
      </w:r>
    </w:p>
    <w:p>
      <w:r>
        <w:t>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(res judicata) quant à l'existence de la créance (ATF 140 III 48 consid. 3; 136 III 583 consid. 2.3; arrêt du Tribunal fédéral 5A_450/2019 du 24 février 2020 consid. 3.1).</w:t>
      </w:r>
    </w:p>
    <w:p>
      <w:r>
        <w:rPr>
          <w:b/>
        </w:rPr>
        <w:t>E. 3.3</w:t>
      </w:r>
    </w:p>
    <w:p>
      <w:r>
        <w:t>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1er mai 2019 consid. 5.1.3). Le juge de la mainlevée n'a pas à trancher de délicates questions de droit matériel ou pour la solution desquelles le pouvoir d'appréciation joue un rôle important, la décision sur de telles questions étant réservée au juge du fond (VEUILLET, op. cit., n. 106 ad art. 84 LP).</w:t>
      </w:r>
    </w:p>
    <w:p>
      <w:r>
        <w:rPr>
          <w:b/>
        </w:rPr>
        <w:t>E. 3.4</w:t>
      </w:r>
    </w:p>
    <w:p>
      <w:r>
        <w:t>Le poursuivi peut faire échec à la mainlevée provisoire en rendant immédiatement vraisemblable sa libération (art. 82 al. 2 LP). Il peut se prévaloir de tous les moyens de droit civil - exceptions ou objections - qui infirment la reconnaissance de dette (ATF 145 III 20 consid. 4.1.2; 142 III 720 consid. 4.1 et la référence); il doit alors établir, au degré de la vraisemblance, le moyen</w:t>
      </w:r>
    </w:p>
    <w:p>
      <w:r>
        <w:t>- 9/12 -</w:t>
      </w:r>
    </w:p>
    <w:p>
      <w:r>
        <w:t>C/3591/2021 libératoire (arrêts du Tribunal fédéral 5A_139/2018 précité consid. 2.6.1; 5A_833/2017 du 8 mars 2018 consid. 2.2 et les références).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op. cit., n. 107 ad art. 82 LP et les références citées).</w:t>
      </w:r>
    </w:p>
    <w:p>
      <w:r>
        <w:rPr>
          <w:b/>
        </w:rPr>
        <w:t>E. 3.5</w:t>
      </w:r>
    </w:p>
    <w:p>
      <w:r>
        <w:t>En l'espèce, il n'est pas contesté que les parties ont conclu un contrat de transfert d'actions de la société C______ SA, pour le prix de 15'000 fr., dont 5'000 fr. ont été versés par l'intimé à la recourante. Il n'est également à juste titre pas contesté que la recourante a transféré les actions qu'elle détenait à l'intimé. A l'audience du Tribunal, l'intimé a au demeurant reconnu devoir la somme de 10'000 fr. La recourante a dès lors démontré avoir exécuté sa prestation. Elle dispose ainsi d'une reconnaissance de dette. Au titre de moyen libératoire, l'intimé a allégué que la recourante ne lui avait pas transféré le nom de domaine de" l'ancienne société". Il faut comprendre de ce qui précède qu'il s'agit de la société individuelle dont la recourante était titulaire. D'une part, ni le préambule du contrat, ni le texte de celui-ci ne font mention d'un nom de domaine. D'autre part, l'intimé échoue à rendre vraisemblable que les parties seraient convenues de ce transfert. Il apparaît au demeurant douteux que ce transfert eusse été prévu, la raison individuelle de la société en question ayant été radiée du Registre en _______ 2018, soit plus de six mois avant la conclusion du contrat de transfert. C'est dès lors à tort que le Tribunal a débouté la recourante de ses conclusions en mainlevée provisoire. Au vu de ce qui précède, le recours est fondé.</w:t>
      </w:r>
    </w:p>
    <w:p>
      <w:r>
        <w:rPr>
          <w:b/>
        </w:rPr>
        <w:t>E. 3.6</w:t>
      </w:r>
    </w:p>
    <w:p>
      <w:r>
        <w:t>Le jugement attaqué sera annulé et il sera statué à nouveau (art. 327 al. 3 let. b CPC) dans le sens que la requête de mainlevée provisoire de l'opposition de la recourante sera prononcée.</w:t>
      </w:r>
    </w:p>
    <w:p>
      <w:r>
        <w:rPr>
          <w:b/>
        </w:rPr>
        <w:t>E. 4</w:t>
      </w:r>
    </w:p>
    <w:p>
      <w:r>
        <w:t>Lorsque l'instance de recours statue à nouveau, elle se prononce sur les frais de la première instance (art. 318 al. 3 CPC par analogie; JEANDIN, in Commentaire romand, Code de procédure civile, 2019, n. 9 ad art. 327 CPC).</w:t>
      </w:r>
    </w:p>
    <w:p>
      <w:r>
        <w:t>- 10/12 -</w:t>
      </w:r>
    </w:p>
    <w:p>
      <w:r>
        <w:t>C/3591/2021 L'intimé, qui succombe tant sur le fond que sur sa requête de restitution, sera condamné aux frais judicaires de la procédure de première instance et de recours (art. 106 al. 1 CPC), arrêtés, respectivement à 300 fr. et 750 fr. (450 fr. pour le recours et 300 fr. pour la restitution) (art. 48 et 61 OELP; art. 25 RTFMC), partiellement compensés avec les avances fournies, qui restent acquise à l'Etat de Genève (art. 111 al. 1 CPC). L'intimé versera à ce titre 450 fr. à la recourante, qui en a fait l'avance (art. 111 al. 2 CPC). Il versera également 300 fr. à l'Etat de Genève. Pour le surplus, l'intimé sera condamné à verser à la recourante des dépens de première instance et de recours réduits à 1'000 fr., compte tenu du fait que la recourante a fait usage du formulaire disponible sur le site de l'Etat pour déposer sa requête de mainlevée et que son conseil l'a assistée à l'audience du Tribunal, et de la brève écriture de recours (art. 85, 89 et 90 RTFMC; art. 23 al. 1, 25 et 26 LaCC). * * * * *</w:t>
      </w:r>
    </w:p>
    <w:p>
      <w:r>
        <w:t>- 11/12 -</w:t>
      </w:r>
    </w:p>
    <w:p>
      <w:r>
        <w:t>C/3591/2021 PAR CES MOTIFS, La Chambre civile : A la forme : Déclare recevable le recours interjeté le 27 septembre 2021 par A______ contre le jugement JTPI/11438/2021 rendu le 13 septembre 2021 par le Tribunal de première instance dans la cause C/3591/2021-18 SML. Statuant sur demande de restitution : Rejette la requête formée le 3 décembre 2021 par B______ de restitution du délai pour répondre au recours déposé le 27 septembre 2021 par A______. Au fond : Annule le jugement. Cela fait et statuant à nouveau : Prononce la mainlevée provisoire de l'opposition formée au commandement de payer, poursuite n° 1______. Déboute les parties de toutes autres conclusions. Sur les frais des deux instances : Arrête les frais judiciaires à 1'050 fr., partiellement compensés avec les avances de frais fournies, acquises à l'Etat de Genève, et les met à la charge de B______. Condamne B______ à verser à A______ 750 fr. à titre de remboursement. Condamne B______ à verser à l'Etat de Genève, soit pour lui les Services financiers du Pouvoir judiciaire, la somme de 300 fr. Condamne B______ à verser à A______ 1'000 fr. à titre de dépens de première instance et de recours. Siégeant : Madame Pauline ERARD, présidente; Madame Sylvie DROIN et Madame Nathalie LANDRY-BARTHE, juges; Madame Laura SESSA, greffière. La présidente : Pauline ERARD</w:t>
      </w:r>
    </w:p>
    <w:p>
      <w:r>
        <w:t>La greffière : Laura SESSA</w:t>
      </w:r>
    </w:p>
    <w:p>
      <w:r>
        <w:t>- 12/12 -</w:t>
      </w:r>
    </w:p>
    <w:p>
      <w:r>
        <w:t>C/3591/2021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