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ACJC/1617/2018 vom 7. Dezember 2018</w:t>
      </w:r>
    </w:p>
    <w:p>
      <w:r>
        <w:t>GE Cour de justice, 2018-12-07, FR</w:t>
      </w:r>
    </w:p>
    <w:p>
      <w:r>
        <w:rPr>
          <w:b/>
        </w:rPr>
        <w:t xml:space="preserve">Quelle: </w:t>
      </w:r>
      <w:r>
        <w:t>https://mcp.opencaselaw.ch/entscheid/ge_gerichte_ACJC_1617_2018</w:t>
      </w:r>
    </w:p>
    <w:p>
      <w:r>
        <w:t>FR: GE_GERICHTE ACJC/1617/2018 du 7 décembre 2018</w:t>
      </w:r>
    </w:p>
    <w:p>
      <w:r>
        <w:t>IT: GE_GERICHTE ACJC/1617/2018 del 7 dicembre 2018</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exclusivement sur les droits parentaux, soit sur une affaire non pécuniaire, la voie de l'appel est ouverte indépendamment de la valeur litigieuse (arrêts du Tribunal fédéral 5A_699/2017 du 24 octobre 2017 consid. 1.1; 5A_304/2016 du 13 juin 2016 consid. 1). Pour le surplus, formé en temps utile et selon la forme prescrite par la loi (art. 130 al. 1 et 311 al. 1 CPC), l'appel est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w:t>
      </w:r>
    </w:p>
    <w:p>
      <w:r>
        <w:t>- 5/9 -</w:t>
      </w:r>
    </w:p>
    <w:p>
      <w:r>
        <w:t>C/29596/2017 les novas (ATF 144 III 349 consid. 4.2.1; ACJC/1221/2018 du 7 septembre 2018 consid. 2.1).</w:t>
      </w:r>
    </w:p>
    <w:p>
      <w:r>
        <w:rPr>
          <w:b/>
        </w:rPr>
        <w:t>E. 2.2</w:t>
      </w:r>
    </w:p>
    <w:p>
      <w:r>
        <w:t>En l'espèce, les pièces nouvelles produites par les parties sont recevables, dès lors qu'elles sont relatives à des éléments entrant en considération pour fixer l'étendue du droit de visite de l'appelant sur des enfants mineurs.</w:t>
      </w:r>
    </w:p>
    <w:p>
      <w:r>
        <w:rPr>
          <w:b/>
        </w:rPr>
        <w:t>E. 3</w:t>
      </w:r>
    </w:p>
    <w:p>
      <w:r>
        <w:t>L'appelant conteste l'étendue du droit de visite tel que fixé par le premier juge. Il fait valoir que le système mis en place par le SPMi, équivalant en fait à une garde alternée, privilégie les intérêts des enfants. 3.1.1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Les mesures provisionnelles relatives aux modalités d'exercice du droit de visite dans le cadre des relations personnelles d'enfants de parents non mariés sont assurément visées par l'art. 261 CPC, au titre de mesures possibles, à l'instar de celles, courantes, prévues dans le cadre des mesures protectrices de l'union conjugale par l'art. 176 al. 3 CC au sujet de la garde des enfants mineurs et des relations personnelles, ainsi que celles liées à une demande d'aliments lorsque la filiation est établie (BOHNET, in Code de procédure civile commenté, BOHNET/HALDY/JEANDIN/ SCHWEIZER/TAPPY [éd.], 2011, n. 8-9 ad art. 261). L'octroi de mesures provisionnelles suppose d'une façon générale la vraisemblance du droit invoqué. Le requérant doit ainsi rendre vraisemblable que le droit matériel invoqué existe et que le procès a des chances de succès (ATF 131 III 473 consid. 2.3; BOHNET, op. cit., n. 7 ad art. 261 CPC). En outre, la vraisemblance requise doit porter sur un préjudice difficilement réparable, qui peut être patrimonial ou immatériel (HUBER, in Kommentar zur Schweizerischen Zivilprozessordnung, 3ème éd., 2016, n. 20 ad art. 261 CPC; BOHNET, op. cit., n. 11 ad art. 261 CPC). La condition du préjudice difficilement réparable vise à protéger le requérant du dommage qu'il pourrait subir s'il devait attendre jusqu'à ce qu'une décision soit rendue au fond (ATF 116 Ia 446 consid. 2, JdT 1992 I p. 122). Elle suppose l'urgence, laquelle s'apprécie au regard des circonstances concrètes du cas (BOHNET, op. cit., n. 12 ad art. 261 CPC). L'existence d'un préjudice difficilement réparable doit être appréciée au regard des conséquences concrètes qu'aurait pour la partie requérante l'absence de telles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w:t>
      </w:r>
    </w:p>
    <w:p>
      <w:r>
        <w:t>- 6/9 -</w:t>
      </w:r>
    </w:p>
    <w:p>
      <w:r>
        <w:t>C/29596/2017 procédure même en cas de décision finale favorable (ACJC/1311/2017 du 11 octobre 2017 consid. 2.1.1; ACJC/824/2016 du 10 juin 2016 consid. 3.1.1). 3.1.2 Le droit aux relations personnelles entre enfants et parents est conçu à la fois comme un droit et un devoir de ceux-ci, mais aussi comme un droit de la personnalité de l'enfant; il doit servir en premier lieu l'intérêt de celui-ci (ATF 131 III 209 consid. 5; arrêt du Tribunal fédéral 5A_478/2018 du 10 août 2018 consid. 5.2.1). Il est unanimement reconnu que le rapport de l'enfant avec ses parents est essentiel et peut jouer un rôle décisif dans le processus de sa recherche d'identité (ATF 130 III 585 consid. 2.2.2; arrêts du Tribunal fédéral 5A_478/2018 du 10 août 2018 consid. 5.2.1; 5A_887/2017 du 16 février 2018 consid. 5.3 et les références citées).</w:t>
      </w:r>
    </w:p>
    <w:p>
      <w:r>
        <w:rPr>
          <w:b/>
        </w:rPr>
        <w:t>E. 3.2</w:t>
      </w:r>
    </w:p>
    <w:p>
      <w:r>
        <w:t>En l'occurrence, le Tribunal a retenu que les modalités effectives de l'exercice du droit de visite de l'appelant n'étaient pas connues et qu'il ignorait si le calendrier proposé par le SPMi était appliqué pour rendre sa décision de mesures provisionnelles. Se fondant sur le contenu de l'échange de sms entre l'appelant et sa fille, le premier juge a considéré qu'il était vraisemblable qu'il existait un important conflit entre les parents et a accordé à l'appelant un droit de visite devant s'exercer à raison d'un week-end sur deux et la moitié des vacances scolaires.</w:t>
      </w:r>
    </w:p>
    <w:p>
      <w:r>
        <w:t>Cependant, dans le cadre de l'action alimentaire, il était expressément indiqué que le père voyait régulièrement les mineurs B______ et C______, ce que l'appelant n'a pas contesté lors de l'audience sur mesures provisionnelles qui s'est tenue le 7 mai 2018 devant le premier juge. En conséquence, pour cette raison déjà, le prononcé de mesures provisionnelles n'apparaissait pas nécessaire. Depuis lors, les parents ont confirmé qu'ils exerçaient de fait, en l'état actuel, une garde alternée sur les enfants. Cela résulte sans ambiguïté de leurs déclarations lors de l'audience tenue le 13 juin 2018 dans le cadre de la procédure au fond. Chacun des parents ayant, pour l'instant, un accès égal aux enfants, le prononcé de mesures provisionnelles ne se justifie pas. Il appartiendra ainsi au juge du fond de procéder aux mesures d'instruction nécessaires, au besoin par un rapport du SPMi, afin de déterminer le mode de garde, respectivement le droit de visite, qui doit être fixé pour le bien des enfants.</w:t>
      </w:r>
    </w:p>
    <w:p>
      <w:r>
        <w:t>C'est ainsi à tort que le Tribunal a considéré que les conditions de l'art. 261 CPC étaient réalisées alors qu'aucune urgence ne nécessitait le prononcé de mesures provisionnelles.</w:t>
      </w:r>
    </w:p>
    <w:p>
      <w:r>
        <w:rPr>
          <w:b/>
        </w:rPr>
        <w:t>E. 3.3</w:t>
      </w:r>
    </w:p>
    <w:p>
      <w:r>
        <w:t>L'ordonnance entreprise sera, en conséquence, annulée et les intimés, représentés par leur mère, seront déboutés des fins de leur requête de mesures provisionnelles déposée le 20 décembre 2017.</w:t>
      </w:r>
    </w:p>
    <w:p>
      <w:r>
        <w:t>- 7/9 -</w:t>
      </w:r>
    </w:p>
    <w:p>
      <w:r>
        <w:t>C/29596/2017</w:t>
      </w:r>
    </w:p>
    <w:p>
      <w:r>
        <w:rPr>
          <w:b/>
        </w:rPr>
        <w:t>E. 4</w:t>
      </w:r>
    </w:p>
    <w:p>
      <w:r>
        <w:t>Si l'instance d'appel statue à nouveau, elle se prononce sur les frais de première instance (art. 308 al. 3 CPC).</w:t>
      </w:r>
    </w:p>
    <w:p>
      <w:r>
        <w:t>En l'espèce, les frais judiciaires des deux instances seront mis à la charge des parties par moitié chacune compte tenu de la nature du litige (art. 95, 104 al. 1, 105, 106 et 107 al. 1 let. c CPC). Les frais judiciaires de première instance ont été arrêtés à 200 fr. Ce montant est conforme au règlement fixant le tarif des frais en matière civile (RTFMC; E 1 05.10) et ne fait l'objet d'aucune critique des parties. Les frais judiciaires d'appel, y compris la décision sur effet suspensif, seront fixés à 1'000 fr. (art. 33 et 37 RTFMC). Ils seront compensés à hauteur de 600 fr. avec l'avance de frais de 1'000 fr. versée par l'appelant (art. 111 al. 1 CPC) qui demeure acquise à l'Etat de Genève. La somme de 400 fr. lui sera restituée. S'agissant des intimés, soit pour eux leur représentante, qui plaide au bénéfice de l'assistance juridique, la somme de 600 fr. sera provisoirement supportée par l'Etat de Genève (art. 122 al. 1 let. b et 123 CPC; art. 19 du Règlement sur l'assistance juridique, RAJ - RS/GE E 2 05.04). Compte tenu de la nature familiale du litige, chaque partie supportera ses propres dépens (art. 107 al. 1 let. c CPC).</w:t>
      </w:r>
    </w:p>
    <w:p>
      <w:r>
        <w:rPr>
          <w:b/>
        </w:rPr>
        <w:t>E. 5</w:t>
      </w:r>
    </w:p>
    <w:p>
      <w:r>
        <w:t>L'arrêt de la Cour, statuant sur mesures provisionnelles, est susceptible d'un recours en matière civile, les moyens étant limités en application de l'art. 98 LTF. * * * * *</w:t>
      </w:r>
    </w:p>
    <w:p>
      <w:r>
        <w:t>- 8/9 -</w:t>
      </w:r>
    </w:p>
    <w:p>
      <w:r>
        <w:t>C/29596/2017</w:t>
      </w:r>
    </w:p>
    <w:p>
      <w:r>
        <w:t>PAR CES MOTIFS, La Chambre civile : A la forme : Déclare recevable l'appel interjeté le 13 juillet 2018 par A______ contre l'ordonnance OTPI/442/2018 rendue le 29 juin 2018 par le Tribunal de première instance dans la cause C/29596/2017-9. Au fond : Annule l'ordonnance entreprise. Cela fait et statuant à nouveau : Déboute B______ et C______ des fins de leur requête de mesures provisionnelles déposée le 20 décembre 2017. Arrête les frais judiciaires de première instance et d'appel à 1'200 fr., les met à la charge des parties pour moitié chacune et les compense à hauteur de 600 fr. avec l'avance de frais de 1'000 fr. fournie par A______, qui reste acquise à l'Etat de Genève à due concurrence. Dit que les frais judiciaires de B______ et C______, soit 600 fr., sont provisoirement supportés par l'Etat de Genève. Invite les Services financiers du Pouvoir judiciaire à restituer 400 fr. à A______. Dit que chaque partie supporte ses propres dépens. Siégeant : Madame Jocelyne DEVILLE-CHAVANNE, présidente; Mesdames Nathalie LANDRY-BARTHE et Eleanor McGREGOR, juges; Madame Jessica ATHMOUNI, greffière. La présidente : Jocelyne DEVILLE-CHAVANNE</w:t>
      </w:r>
    </w:p>
    <w:p>
      <w:r>
        <w:t>La greffière : Jessica ATHMOUNI</w:t>
      </w:r>
    </w:p>
    <w:p>
      <w:r>
        <w:t>- 9/9 -</w:t>
      </w:r>
    </w:p>
    <w:p>
      <w:r>
        <w:t>C/29596/2017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