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ACJC/1616/2020 vom 17. November 2020</w:t>
      </w:r>
    </w:p>
    <w:p>
      <w:r>
        <w:t>GE Cour de justice, 2020-11-17, FR</w:t>
      </w:r>
    </w:p>
    <w:p>
      <w:r>
        <w:rPr>
          <w:b/>
        </w:rPr>
        <w:t xml:space="preserve">Quelle: </w:t>
      </w:r>
      <w:r>
        <w:t>https://mcp.opencaselaw.ch/entscheid/ge_gerichte_ACJC_1616_2020</w:t>
      </w:r>
    </w:p>
    <w:p>
      <w:r>
        <w:t>FR: GE_GERICHTE ACJC/1616/2020 du 17 novembre 2020</w:t>
      </w:r>
    </w:p>
    <w:p>
      <w:r>
        <w:t>IT: GE_GERICHTE ACJC/1616/2020 del 17 novembre 2020</w:t>
      </w:r>
    </w:p>
    <w:p>
      <w:pPr>
        <w:pStyle w:val="Heading2"/>
      </w:pPr>
      <w:r>
        <w:t>Erwägungen</w:t>
      </w:r>
    </w:p>
    <w:p>
      <w:r>
        <w:rPr>
          <w:b/>
        </w:rPr>
        <w:t>E. 1.1</w:t>
      </w:r>
    </w:p>
    <w:p>
      <w:r>
        <w:t>L'appel est recevable dans les causes non patrimoniales ou dont la valeur litigieuse au dernier état des conclusions est supérieure à 10'000 fr. (art. 308 al. 1 let. a et al. 2 CPC). En l'espèce, le litige porte notamment sur l'attribution des droits parentaux, soit sur une affaire non pécuniaire dans son ensemble, de sorte que la voie de l'appel est ouverte indépendamment de la valeur litigieuse (arrêt du Tribunal fédéral 5A_611/2019 du 29 avril 2020 consid. 1).</w:t>
      </w:r>
    </w:p>
    <w:p>
      <w:r>
        <w:rPr>
          <w:b/>
        </w:rPr>
        <w:t>E. 1.2</w:t>
      </w:r>
    </w:p>
    <w:p>
      <w:r>
        <w:t>Interjetés dans le délai utile de 30 jours suivant la notification du jugement querellé et selon la forme prescrite par la loi (art. 130, 131, 142, 311 al. 1 et 2 CPC), les appels sont recevables.</w:t>
      </w:r>
    </w:p>
    <w:p>
      <w:r>
        <w:rPr>
          <w:b/>
        </w:rPr>
        <w:t>E. 2</w:t>
      </w:r>
    </w:p>
    <w:p>
      <w:r>
        <w:t>Le litige présente des éléments d'extranéité en raison de la nationalité étrangère et du domicile à l'étranger de l'appelante.</w:t>
      </w:r>
    </w:p>
    <w:p>
      <w:r>
        <w:t>La compétence à raison du lieu des juridictions genevoises est acquise compte tenu du domicile genevois des enfants et de l'intimé (art. 59 et 85 LDIP; art. 5 ch. 1 CLaH 96). Le droit suisse est applicable (art. 61, 63 al. 2 et 82 al.1 et 3 LDIP; art. 15 ch. 1 CLaH 96).</w:t>
      </w:r>
    </w:p>
    <w:p>
      <w:r>
        <w:rPr>
          <w:b/>
        </w:rPr>
        <w:t>E. 3</w:t>
      </w:r>
    </w:p>
    <w:p>
      <w:r>
        <w:t>La Cour revoit la cause avec un plein pouvoir d'examen en fait et en droit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w:t>
      </w:r>
    </w:p>
    <w:p>
      <w:r>
        <w:rPr>
          <w:b/>
        </w:rPr>
        <w:t>E. 4</w:t>
      </w:r>
    </w:p>
    <w:p>
      <w:r>
        <w:t>Les chiffres 1, 7, 8 et 18 à 20 du dispositif du jugement entrepris n'étant pas remis en cause, ils sont entrés en force de chose jugée (art. 315 al. 1 CPC). Le chiffre 21 relatif aux dépens pourra encore être revu d'office en cas d'annulation de tout ou partie du jugement entrepris dans le cadre du présent appel (art. 318 al. 3 CPC).</w:t>
      </w:r>
    </w:p>
    <w:p>
      <w:r>
        <w:rPr>
          <w:b/>
        </w:rPr>
        <w:t>E. 5</w:t>
      </w:r>
    </w:p>
    <w:p>
      <w:r>
        <w:t>L'appelante reproche au Tribunal de ne pas avoir procédé à l'audition des enfants.</w:t>
      </w:r>
    </w:p>
    <w:p>
      <w:r>
        <w:rPr>
          <w:b/>
        </w:rPr>
        <w:t>E. 5.1</w:t>
      </w:r>
    </w:p>
    <w:p>
      <w:r>
        <w:t>Selon l'art. 298 al. 1 CPC, les enfants sont entendus personnellement et de manière appropriée par le tribunal ou un tiers nommé à cet effet, pour autant que leur âge ou d'autres justes motifs ne s'y opposent pas. Le juge est dès lors tenu d'entendre l'enfant, non seulement lorsque celui-ci ou ses parents le requièrent, mais aussi dans tous les cas où aucun juste motif ne s'y oppose (arrêts du Tribunal fédéral 5A_714/2015 du 28 avril 2016 consid. 4.2.2; 5A_402/2011 du 5 décembre 2011 consid. 5.1 et les références).</w:t>
      </w:r>
    </w:p>
    <w:p>
      <w:r>
        <w:t>- 13/19 -</w:t>
      </w:r>
    </w:p>
    <w:p>
      <w:r>
        <w:t>C/21322/2018 Un motif d'exception est notamment donné lorsque l'audition de l'enfant porterait atteinte à sa santé psychique. Ce motif permet à lui seul de justifier une renonciation à l'audition (arrêt du Tribunal fédéral 5A_783/2017 du 21 novembre 2017 consid. 5.2; JEANDIN, CR-CPC, 2019, n. 11 ad art. 298 CPC).</w:t>
      </w:r>
    </w:p>
    <w:p>
      <w:r>
        <w:rPr>
          <w:b/>
        </w:rPr>
        <w:t>E. 5.2</w:t>
      </w:r>
    </w:p>
    <w:p>
      <w:r>
        <w:t>En l'espèce, le premier juge a retenu que l'audition des enfants était contre- indiquée par l'experte psychiatre ayant d'ores et déjà auditionné les enfants, ce que l'appelante ne conteste pas en appel.</w:t>
      </w:r>
    </w:p>
    <w:p>
      <w:r>
        <w:t>En outre, il y a lieu de rappeler que la décision d'attribution des droits parentaux ne se fonde pas uniquement sur l'avis des enfants mais également sur des éléments objectifs. Or, en l'espèce, compte tenu des constatations effectuées par l'experte dans le cadre de l'expertise familiale, dont le résultat n'est pas contesté par l'appelante, l'audition des enfants serait inutile puisque la garde ne saurait être, en l'état, attribuée à leur mère, comme il le sera expliqué ci-après (cf. infra 6.2).</w:t>
      </w:r>
    </w:p>
    <w:p>
      <w:r>
        <w:t>Par conséquent, c'est à juste titre que le Tribunal n'a pas auditionné personnellement les enfants avant de statuer.</w:t>
      </w:r>
    </w:p>
    <w:p>
      <w:r>
        <w:rPr>
          <w:b/>
        </w:rPr>
        <w:t>E. 6</w:t>
      </w:r>
    </w:p>
    <w:p>
      <w:r>
        <w:t>Sans prendre de conclusions formelles sur ce point, l'appelante relève avoir sollicité la révocation de la curatrice. L'appelante fait certainement référence à son courrier du 6 novembre 2019 par lequel elle a sollicité que L______ soit "relevée de sa fonction de curatrice des enfants". La curatrice a été nommée par le TPAE et il n'est pas de la compétence de la Cour civile de la relever de ses fonctions, étant précisé qu'il n'apparait pas que L______ adopterait un comportement contraire à l'intérêt des enfants.</w:t>
      </w:r>
    </w:p>
    <w:p>
      <w:r>
        <w:rPr>
          <w:b/>
        </w:rPr>
        <w:t>E. 7</w:t>
      </w:r>
    </w:p>
    <w:p>
      <w:r>
        <w:t>L'appelante reproche au Tribunal de ne pas lui avoir accordé la garde des enfants et de lui avoir retiré le droit de déterminer leur lieu de résidence. 7.1.1 Le juge du divorce règle les droits et les devoirs des père et mère conformément aux dispositions régissant les effets de la filiation, réglementation qui porte notamment sur l'autorité parentale, la garde de l'enfant, les relations personnelles et la contribution d'entretien (article 133 al. 1 CC). Lorsqu'il statue sur l'autorité parentale et règle les relations personnelles, le juge tient compte de toutes les circonstances importantes pour le bien de l’enfant; il prend en considération une éventuelle requête commune des parents et, autant que possible, l’avis de l’enfant (article 133 al. 2 CC). En matière d'attribution des droits parentaux, le bien de l'enfant constitue la règle fondamentale (ATF 141 III 328 consid. 5.4), les intérêts des parents étant relégués au second plan (ATF 142 III 617 consid. 3.2.3; 131 III 209 consid. 5). 7.1.2 L'autorité parentale inclut le droit de déterminer le lieu de résidence de l'enfant (art. 301a al. 1 CC).</w:t>
      </w:r>
    </w:p>
    <w:p>
      <w:r>
        <w:t>- 14/19 -</w:t>
      </w:r>
    </w:p>
    <w:p>
      <w:r>
        <w:t>C/21322/2018 Selon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incisives prévues aux art. 307 et 308 CC (principes de proportionnalité et de subsidiarité; arrêt du Tribunal fédéral 5A_548/2015 cité consid. 4.3 et les références citées). Le juge n'est en principe pas lié par les conclusions de l'expert. En effet, il apprécie librement les preuves et tient compte de l'ensemble de celles-ci. Il ne saurait toutefois, sans motifs sérieux, substituer son opinion à celle de l'expert (ATF 130 I 337 consid. 5.4.2 ; arrêt du Tribunal fédéral 5A_478/2016 du 10 mars 2017 consid. 5.2.2).</w:t>
      </w:r>
    </w:p>
    <w:p>
      <w:r>
        <w:rPr>
          <w:b/>
        </w:rPr>
        <w:t>E. 7.2</w:t>
      </w:r>
    </w:p>
    <w:p>
      <w:r>
        <w:t>En l'espèce, l'appelante ne remet pas en cause les considérations du Tribunal qui, se ralliant à l'experte, a considéré qu'elle n'était pas apte actuellement à prendre en charge les enfants. Elle se limite en effet à faire valoir que ces derniers seraient beaucoup mieux auprès d'elle que dans un foyer, considération personnelle, non étayée, qui est insuffisante pour passer outre ses carences parentales qui ont été constatées dans l'expertise familiale. Par conséquent, les chiffres 2 à 4 et 6 du dispositif du jugement seront confirmés dès lors qu'il est, en l'état, conforme à l'intérêt des enfants de continuer, pour un temps, d'être placés dans un foyer et de poursuivre leurs psychothérapies. Partant, l'appelante sera déboutée de ses conclusions en tant que leur garde lui soit attribuée, à ce que le droit de déterminer leur lieu de résidence lui soit maintenu, à ce que les différentes curatelles soient levées, à ce que les allocations familiales lui soient versées et à ce que B______ soit condamné à lui verser une contribution à l'entretien des enfants.</w:t>
      </w:r>
    </w:p>
    <w:p>
      <w:r>
        <w:t>- 15/19 -</w:t>
      </w:r>
    </w:p>
    <w:p>
      <w:r>
        <w:t>C/21322/2018 Compte tenu de ce qui précède, il n'est point nécessaire de donner suite aux conclusions préalables du curateur.</w:t>
      </w:r>
    </w:p>
    <w:p>
      <w:r>
        <w:rPr>
          <w:b/>
        </w:rPr>
        <w:t>E. 8</w:t>
      </w:r>
    </w:p>
    <w:p>
      <w:r>
        <w:t>L'appelante reproche au Tribunal d'avoir ordonné que ses visites soient médiatisées faisant valoir que, en pratique, cela revient à lui interdire toute relation avec ses enfants, sauf par l'entremise de contacts téléphoniques. Elle remet également en question les modalités du droit de visite du père.</w:t>
      </w:r>
    </w:p>
    <w:p>
      <w:r>
        <w:rPr>
          <w:b/>
        </w:rPr>
        <w:t>E. 8.1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et psychique est menacé par la présence même limitée du parent non gardien (ATF 122 III 404 consid. 3b). Conformément au principe de proportionnalité, il importe en outre que ce danger ne puisse être écarté par d'autres mesures appropriées (arrêts du Tribunal fédéral 5A_53/2017 du 23 mars 2017 consid. 5.1; 5A_756/2013 du 9 janvier 2014 consid. 5.1.2).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Le droit de visite surveillé constitue en principe une solution provisoire et ne peut donc être ordonné que pour une durée limitée. Il convient toutefois de réserver les cas où il apparaît d'emblée que les visites ne pourront pas, dans un proche avenir, être effectuées sans</w:t>
      </w:r>
    </w:p>
    <w:p>
      <w:r>
        <w:t>- 16/19 -</w:t>
      </w:r>
    </w:p>
    <w:p>
      <w:r>
        <w:t>C/21322/2018 accompagnement (arrêts du Tribunal fédéral 5A_568/2017 du 21 novembre 2017 consid. 5.1; 5A_699/2017 du 24 octobre 2017 consid. 5.1; 5A_728/2015 du 25 août 2016 consid. 2.2 et les références). En vertu de l'art. 4 CC, le juge dispose d'un large pouvoir d'appréciation dans la fixation du droit aux relations personnelles des art. 273 et 274 CC (ATF 120 II 229 consid. 4a; arrêt 5A_422/2015 du 10 février 2016 consid. 4.2 in fine non publié aux ATF 142 III 193). L'une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consid. 5.1; 5A_184/2017 du 9 juin 2017 consid. 4.1).</w:t>
      </w:r>
    </w:p>
    <w:p>
      <w:r>
        <w:rPr>
          <w:b/>
        </w:rPr>
        <w:t>E. 8.2</w:t>
      </w:r>
    </w:p>
    <w:p>
      <w:r>
        <w:t>En l'espèce, il semble que l'appelante se méprenne sur le terme "médiatisé" utilisé par le Tribunal. Les visites médiatisées telles que prévues par le jugement querellé impliquent que l'appelante et ses enfants se rencontrent dans un cadre protégé en présence d'un tiers et non de manière distante au travers d'un "média" informatique. Par conséquent, c'est à tort que l'appelante fait valoir que les modalités du droit de visite l'empêcheraient d'avoir des contacts avec ses enfants, étant relevé qu'à ce jour c'est l'appelante qui a renoncé à exercer son droit de visite puisqu'elle n'a pas demandé à voir ses enfants. Un tel droit de visite est en outre adéquat et proportionné compte tenu du fait que les enfants ont mal vécu les dernières visites non médiatisées de leur mère.</w:t>
      </w:r>
    </w:p>
    <w:p>
      <w:r>
        <w:t>Par ailleurs, dès lors que le droit de visite de l'intimé a été subordonné à son obligation de poursuivre son suivi thérapeutique en addictologie (ch. 7 du dispositif) et de transmettre mensuellement au SPMi les résultats des contrôles médicaux attestant de sa consommation ou non de stupéfiants (ch. 8), les craintes évoquées par l'appelante s'agissant des modalités du droit de visite du père compte tenu de sa toxicomanie sont sans fondement. Par conséquent, le chiffre 5 du dispositif du jugement fixant les modalités du droit de visite du père sera également confirmé.</w:t>
      </w:r>
    </w:p>
    <w:p>
      <w:r>
        <w:rPr>
          <w:b/>
        </w:rPr>
        <w:t>E. 9</w:t>
      </w:r>
    </w:p>
    <w:p>
      <w:r>
        <w:t>Enfin, l'appelante reproche au Tribunal de ne pas lui avoir attribué les bonifications pour tâches éducatives au sens de l'AVS alors qu'elle s'occupait seule des enfants avant qu'ils ne soient placés en foyer.</w:t>
      </w:r>
    </w:p>
    <w:p>
      <w:r>
        <w:rPr>
          <w:b/>
        </w:rPr>
        <w:t>E. 9.1</w:t>
      </w:r>
    </w:p>
    <w:p>
      <w:r>
        <w:t>Selon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(al. 1). Le tribunal ou l'autorité de protection de l'enfant impute la totalité de la bonification pour tâches éducatives à celui des</w:t>
      </w:r>
    </w:p>
    <w:p>
      <w:r>
        <w:t>- 17/19 -</w:t>
      </w:r>
    </w:p>
    <w:p>
      <w:r>
        <w:t>C/21322/2018 parents qui assume la plus grande partie de la prise en charge des enfants communs. La bonification pour tâches éducatives est partagée par moitié lorsque les deux parents assument à égalité la prise en charge des enfants communs (al. 2). Pour les couples mariés, les bonifications pour tâches éducatives sont partagées par moitié durant les années civiles de mariage commun, pour autant que les deux conjoints soient assurés en Suisse. En cas de divorce, lorsque le Tribunal statue sur l'autorité parentale conjointe et/ou l'attribution de la garde, il décide d'office de l'attribution des bonifications pour tâches éducatives. A cet effet, c'est au regard des tâches éducatives assumées pour les enfants communs qu'elles se prononcent sur le sort des bonifications pour tâches éducatives, les attribuant soit entièrement à l'un ou à l'autre des parents, soit par moitié à chacun d'eux (fiche thématique "Bonifications pour tâches éducatives" de l'AVS/AI disponible sur le site internet https://www.ahv-iv.ch/p/1.07.f).</w:t>
      </w:r>
    </w:p>
    <w:p>
      <w:r>
        <w:rPr>
          <w:b/>
        </w:rPr>
        <w:t>E. 9.2</w:t>
      </w:r>
    </w:p>
    <w:p>
      <w:r>
        <w:t>En l'espèce, jusqu'au prononcé du divorce l'appelante s'est vue attribuer, de par la loi, la moitié des bonifications pour tâches éducatives. L'attribution de ces bonifications par le juge ne concerne que la période postérieure au divorce et doit s'effectuer compte tenu de la prise en charge des enfants après son prononcé. Il n'est ainsi pas pertinent que l'appelante se soit occupée des enfants avant le divorce. De fait, depuis que les enfants sont au foyer, c'est l'intimé qui s'en est occupé de manière prépondérante puisque son droit de visite est plus étendu que celui de l'appelante et qu'il est envisagé, à terme, qu'il s'en voit attribuer la garde. La décision du premier juge d'attribuer à l'intimé le bonus éducatif après le divorce n'est ainsi pas critiquable. Le chiffre 17 du dispositif du jugement entrepris sera, dès lors, confirmé.</w:t>
      </w:r>
    </w:p>
    <w:p>
      <w:r>
        <w:rPr>
          <w:b/>
        </w:rPr>
        <w:t>E. 10</w:t>
      </w:r>
    </w:p>
    <w:p>
      <w:r>
        <w:t>Les frais judiciaires d'appel seront fixés à 3'543 fr., comprenant les honoraires du curateur arrêtés à 2'292 fr. 95 (art. 95 al. 2 et 105 al. 1 CPC; art. 30 et 35 RTFMC). Compte tenu de la nature familiale du litige, ils seront répartis à parts égales entre les parties, soit 1'771 fr. 50 à charge de chacune (art. 107 al. 1 let. c CPC). Les parties plaidant au bénéfice de l'assistance juridique, les frais seront provisoirement supportés par l'Etat de Genève (art. 122 al. 1 let. b, 123 al. 1 CPC et 19 RAJ). Pour les mêmes motifs d'équité liés à la nature du litige, les parties conserveront à leur charge leurs propres dépens d'appel (art. 95 al. 1 let. b et al. 3, 104 al. 1, 105 al. 2 et 107 al. 1 let. c CPC). * * * * *</w:t>
      </w:r>
    </w:p>
    <w:p>
      <w:r>
        <w:t>- 18/19 -</w:t>
      </w:r>
    </w:p>
    <w:p>
      <w:r>
        <w:t>C/21322/2018</w:t>
      </w:r>
    </w:p>
    <w:p>
      <w:r>
        <w:t>PAR CES MOTIFS, La Chambre civile :</w:t>
      </w:r>
    </w:p>
    <w:p>
      <w:r>
        <w:t>A la forme : Déclare recevable l'appel interjeté le 18 mai 2020 par A______ contre le jugement JTPI/4543/2020 rendu le 20 avril 2020 par le Tribunal de première instance dans la cause C/21322/2018-19. Au fond : Confirme le jugement entrepris. Déboute les parties de toutes autres conclusions. Sur les frais : Arrête les frais judiciaires à 3'543 fr. et les met à la charge de chacune des parties pour moitié. Dit que la somme de 1'771 fr. 50 due à ce titre par A______, qui plaide au bénéfice de l'assistance juridique, est provisoirement supportée par l'Etat de Genève, sous réserve d'une décision de l'Assistance juridique. Dit que la somme de 1'771 fr. 50 due à ce titre par B______, qui plaide au bénéfice de l'assistance juridique, est provisoirement supportée par l'Etat de Genève, sous réserve d'une décision de l'Assistance juridique. Dit que chaque partie supporte ses propres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- 19/19 -</w:t>
      </w:r>
    </w:p>
    <w:p>
      <w:r>
        <w:t>C/21322/2018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