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ACJC/1615/2020 vom 25. November 2020</w:t>
      </w:r>
    </w:p>
    <w:p>
      <w:r>
        <w:t>GE Cour de justice, 2020-11-25, FR</w:t>
      </w:r>
    </w:p>
    <w:p>
      <w:r>
        <w:rPr>
          <w:b/>
        </w:rPr>
        <w:t xml:space="preserve">Quelle: </w:t>
      </w:r>
      <w:r>
        <w:t>https://mcp.opencaselaw.ch/entscheid/ge_gerichte_ACJC_1615_2020</w:t>
      </w:r>
    </w:p>
    <w:p>
      <w:r>
        <w:t>FR: GE_GERICHTE ACJC/1615/2020 du 25 novembre 2020</w:t>
      </w:r>
    </w:p>
    <w:p>
      <w:r>
        <w:t>IT: GE_GERICHTE ACJC/1615/2020 del 25 novembre 2020</w:t>
      </w:r>
    </w:p>
    <w:p>
      <w:pPr>
        <w:pStyle w:val="Heading2"/>
      </w:pPr>
      <w:r>
        <w:t>Erwägungen</w:t>
      </w:r>
    </w:p>
    <w:p>
      <w:r>
        <w:rPr>
          <w:b/>
        </w:rPr>
        <w:t>E. 1.1</w:t>
      </w:r>
    </w:p>
    <w:p>
      <w:r>
        <w:t>L'appel est recevable contre les décisions de première instance sur les mesures provisionnelles (art. 308 al. 1 let. b CPC) dans les causes patrimoniales si la valeur litigieuse, au dernier état des conclusions de première instance, est supérieure à 10'000 fr. (art. 308 al. 2 CPC). En l'espèce, le litige porte sur le montant de la provisio ad litem, ainsi que sur la contribution d'entretien en faveur de l'épouse. La valeur litigieuse, calculée conformément à l'art. 92 al. 1 CPC, est supérieure à 10'000 fr. La voie de l'appel est ainsi ouverte.</w:t>
      </w:r>
    </w:p>
    <w:p>
      <w:r>
        <w:rPr>
          <w:b/>
        </w:rPr>
        <w:t>E. 1.2</w:t>
      </w:r>
    </w:p>
    <w:p>
      <w:r>
        <w:t>Déposé en temps utile et dans la forme prescrite par la loi (art. 130, 131, 311 al. 1 et 314 al. 1 CPC), l'appel est recevable.</w:t>
      </w:r>
    </w:p>
    <w:p>
      <w:r>
        <w:rPr>
          <w:b/>
        </w:rPr>
        <w:t>E. 1.3</w:t>
      </w:r>
    </w:p>
    <w:p>
      <w:r>
        <w:t>Le litige étant circonscrit à l'entretien du conjoint, la maxime inquisitoire (art. 272 et 276 al. 1 CPC) et le principe de disposition (art. 58 CPC; arrêt du Tribunal fédéral 5A_970/2017 du 7 juin 2018 consid. 3.1) sont applicables.</w:t>
      </w:r>
    </w:p>
    <w:p>
      <w:r>
        <w:rPr>
          <w:b/>
        </w:rPr>
        <w:t>E. 1.4</w:t>
      </w:r>
    </w:p>
    <w:p>
      <w:r>
        <w:t>La Cour revoit la cause en fait et en droit avec un plein pouvoir d'examen (art. 310 CPC), dans la limite des griefs formulés à son encontre (ATF 142 III 413 consid. 2.2.2 et les références citées).</w:t>
      </w:r>
    </w:p>
    <w:p>
      <w:r>
        <w:t>- 7/16 -</w:t>
      </w:r>
    </w:p>
    <w:p>
      <w:r>
        <w:t>C/25248/2019</w:t>
      </w:r>
    </w:p>
    <w:p>
      <w:r>
        <w:rPr>
          <w:b/>
        </w:rPr>
        <w:t>E. 2</w:t>
      </w:r>
    </w:p>
    <w:p>
      <w:r>
        <w:t>Les parties produisent des pièces nouvelles en appel.</w:t>
      </w:r>
    </w:p>
    <w:p>
      <w:r>
        <w:rPr>
          <w:b/>
        </w:rPr>
        <w:t>E. 2.1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S'agissant de pseudo nova,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arrêt du Tribunal fédéral 5A_1005/2018 du 9 avril 2020 consid. 6.1). Le plaideur qui fait valoir des pseudo nova devant l'instance d'appel doit exposer précisément les raisons pour lesquelles il ne les a pas invoqués en première instance (ATF 144 III 349 consid. 4.2.1), dès lors que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5A_1005/2018 du 9 avril 2020 consid. 6.1; 4A_334/2012 du 16 octobre 2012 consid. 3.1). Cependant,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2.2</w:t>
      </w:r>
    </w:p>
    <w:p>
      <w:r>
        <w:t>En l'espèce, les pièces nouvellement produites par les parties à l'appui de leurs écritures sont postérieures à la date à laquelle le Tribunal a gardé la cause à juger et ont été versées au dossier avec la diligence requise, sous réserve de la pièce 82 de l'appelante. Cette pièce s'appuie en effet sur des décomptes de prestations d'assurance qui existaient déjà lors de la procédure de première instance, sans que l'appelante n'explique pour quel motif elle aurait été empêchée de s'en prévaloir devant le premier juge alors qu'il lui revenait d'établir ses charges de manière soigneuse et complète et de produire tous les éléments propres à les étayer. Elle est par conséquent tardive. Il en va de même des pièces complémentaires adressées à la Cour par l'appelante le 7 octobre 2020, après l'échange d'écritures des parties et la mise en délibération de la cause. Les pièces produites devant la Cour sont ainsi recevables, à l'exception de la pièce 82 de l'appelante et de son bordereau du 7 octobre 2020.</w:t>
      </w:r>
    </w:p>
    <w:p>
      <w:r>
        <w:t>- 8/16 -</w:t>
      </w:r>
    </w:p>
    <w:p>
      <w:r>
        <w:t>C/25248/2019</w:t>
      </w:r>
    </w:p>
    <w:p>
      <w:r>
        <w:rPr>
          <w:b/>
        </w:rPr>
        <w:t>E. 3</w:t>
      </w:r>
    </w:p>
    <w:p>
      <w:r>
        <w:t>L'appelante conteste le montant de la contribution d'entretien allouée en sa faveur par le Tribunal.</w:t>
      </w:r>
    </w:p>
    <w:p>
      <w:r>
        <w:rPr>
          <w:b/>
        </w:rPr>
        <w:t>E. 3.1</w:t>
      </w:r>
    </w:p>
    <w:p>
      <w:r>
        <w:t>Saisi d'une demande en divorce (art. 274 CPC), le Tribunal ordonne les mesures provisionnelles nécessaires, dont la contribution d'entretien due entre conjoints, en appliquant par analogie les dispositions régissant la protection de l'union conjugale (art. 176 al. 1 CC, applicable par renvoi de l'art. 276 al. 1 CPC).</w:t>
      </w:r>
    </w:p>
    <w:p>
      <w:r>
        <w:rPr>
          <w:b/>
        </w:rPr>
        <w:t>E. 3.1.1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l'art. 163 CC demeurant la cause de l'obligation d'entretien réciproque des époux en mesures provisionnelles prononcées pour la durée de la procédure de divorce (ATF 140 III 337 consid. 4.2.1; 138 III 97 consid. 2.2; 137 III 385 consid. 3.1). Tant que dure le mariage, les conjoints doivent donc contribuer, chacun selon ses facultés (art. 163 al. 2 CC), aux frais supplémentaires engendrés par l'existence parallèle de deux ménages (arrêts du Tribunal fédéral 5A_584/2018 du 10 octobre 2018 consid. 5.1.1; 5A_920/2016 du 5 juillet 2017 consid. 4.1.1). Si la situation le permet, chaque époux peut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w:t>
      </w:r>
    </w:p>
    <w:p>
      <w:r>
        <w:rPr>
          <w:b/>
        </w:rPr>
        <w:t>E. 3.1.2</w:t>
      </w:r>
    </w:p>
    <w:p>
      <w:r>
        <w:t>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arrêt du Tribunal fédéral 5A_920/2016 du 5 juillet 2017 consid. 4.1.1). L'une des méthodes de calcul est celle du minimum vital avec participation à l'excédent (ATF 134 III 577 consid. 3), qui consiste à prendre en considération le minimum vital du droit des poursuites. Lorsque la situation financière des parties le permet, il est également justifié d'ajouter au minimum vital du droit des poursuites certains suppléments, non strictement nécessaires, tels que la charge fiscale courante ou certaines assurances non obligatoires (ATF 140 III 337 consid. 4.2.3 et 4.4; 127 III 68 consid. 2b). Une fois les besoins élémentaires de chacun couverts, l'éventuel excédent est réparti entre les époux, en règle générale par moitié entre eux (ATF 114 II 26), à moins que l'un des époux ne doive subvenir aux besoins d'enfants mineurs communs (ATF 126 III 8 consid. 3c et les</w:t>
      </w:r>
    </w:p>
    <w:p>
      <w:r>
        <w:t>- 9/16 -</w:t>
      </w:r>
    </w:p>
    <w:p>
      <w:r>
        <w:t>C/25248/2019 références) ou que des circonstances importantes ne justifient de s'en écarter (ATF 119 II 314 consid. 4b/bb; arrêt du Tribunal fédéral 5A_745/2015, 5A_755/2015 du 15 juin 2016 consid. 4.5.2.2). Lorsque les ressources de la famille sont suffisantes, il est admissible d'intégrer dans les charges des époux, en sus de leurs frais incompressibles, le remboursement de dettes contractées pendant la vie commune pour le bénéfice de la famille, ou décidées en commun, voire dont les époux sont débiteurs solidaires (ATF 127 III 289 consid. 2a/bb et b; 126 III 89 consid. 3b; arrêts du Tribunal fédéral 5A_1032/2019 du 9 juin 2020 consid. 3.2; 5A_926/2016 du 11 août 2017 consid. 2.2.3; 5A_1029/2015 du 1er juin 2016 consid. 3.3.1.3; BASTONS BULLETTI, L'entretien après divorce : méthode de calcul, montant et durée, in SJ 2007 II 90). Seules les charges effectives, dont le débirentier s'acquitte réellement, doivent être prises en compte (ATF 140 III 337 consid. 4.2.3; 121 III 20 consid. 3a), à l'exclusion de dépenses hypothétiques dont on ne sait si elles existeront finalement - et à concurrence de quel montant - ni si elles seront en définitive assumées (arrêt du Tribunal fédéral 5A_405/2019 du 24 février 2020 consid. 5.2).</w:t>
      </w:r>
    </w:p>
    <w:p>
      <w:r>
        <w:rPr>
          <w:b/>
        </w:rPr>
        <w:t>E. 3.1.3</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 exiger du conjoint concerné qu'il exerce une activité lucrative ou augmente celle- ci eu égard, notamment, à sa formation, à son âge et à son état de santé; cette question relève du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 du Tribunal fédéral 5A_466/2019 du 25 septembre 2019).</w:t>
      </w:r>
    </w:p>
    <w:p>
      <w:r>
        <w:rPr>
          <w:b/>
        </w:rPr>
        <w:t>E. 3.1.4</w:t>
      </w:r>
    </w:p>
    <w:p>
      <w:r>
        <w:t>Selon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w:t>
      </w:r>
    </w:p>
    <w:p>
      <w:r>
        <w:t>- 10/16 -</w:t>
      </w:r>
    </w:p>
    <w:p>
      <w:r>
        <w:t>C/25248/2019 d'appel juge la cause différemment que le premier juge (arrêt du Tribunal fédéral 5A_804/2018 du 18 janvier 2019 consid. 3.2).</w:t>
      </w:r>
    </w:p>
    <w:p>
      <w:r>
        <w:rPr>
          <w:b/>
        </w:rPr>
        <w:t>E. 3.2</w:t>
      </w:r>
    </w:p>
    <w:p>
      <w:r>
        <w:t>En l'espèce, il sied de relever à titre liminaire que c'est à bon droit que le premier juge est entré en matière sur la requête de mesures provisionnelles, compte tenu de la prise d'une nouvelle activité lucrative par l'appelante depuis le prononcé des mesures protectrices, lui procurant des revenus plus importants. Ce point n'est pas remis en cause par les parties. Les parties contestent en revanche la situation financière de la famille à la base de la contribution d'entretien litigieuse, de sorte qu'il convient d'examiner les revenus et charges admissibles à la lumière des griefs soulevés.</w:t>
      </w:r>
    </w:p>
    <w:p>
      <w:r>
        <w:rPr>
          <w:b/>
        </w:rPr>
        <w:t>E. 3.2.1</w:t>
      </w:r>
    </w:p>
    <w:p>
      <w:r>
        <w:t>En premier lieu, la situation de l'appelante est contestée sous l'angle de ses revenus. L'appelante a commencé un nouvel emploi au sein d'un pressing à partir du mois de janvier 2020. Elle a toutefois dû cesser très rapidement son activité pour des raisons médicales ayant entraîné une incapacité totale de travail. Selon les médecins en charge de son suivi, l'appelante est affectée dans sa santé tant physique que psychique. Le traitement suivi pour soigner son cancer du sein, qui comportait une intervention chirurgicale puis des séances de radiothérapie avec des contrôles médicaux réguliers, a également eu pour conséquence de péjorer son état psychologique déjà fragilisé par un état dépressif et anxieux. Selon les pièces au dossier, il est difficile de déterminer la durée de sa convalescence, étant relevé que son médecin-traitant a attesté qu'elle se trouvait en incapacité de travail totale pour une durée indéterminée, laquelle est régulièrement prolongée par certificats médicaux. Contrairement à l'avis de l'intimé, les problèmes de santé de l'appelante ne sauraient être qualifiés de temporaires sans influence sur sa capacité de gain. Les indemnités perte de gain qu'elle perçoit depuis son opération s'élèvent à 2'155 fr. nets par mois. Bien que son contrat de travail ait été résilié pour fin juillet 2020, l'appelante pourra néanmoins continuer de bénéficier de prestations identiques en s'affiliant à une assurance perte de gain individuelle auprès de l'assurance de son ancien employeur, ce qui est finalement admis par l'appelante dans ses dernières écritures. Compte tenu de son état de santé et du fait qu'aucun élément ne permet de déterminer à quel moment l'appelante sera en mesure de reprendre une activité professionnelle, ne serait-ce qu'à temps partiel, il ne se justifie pas de s'écarter de ses revenus effectifs actuels en lui imputant un revenu hypothétique. Ceux-ci seront donc arrêtés à 2'155 fr. par mois.</w:t>
      </w:r>
    </w:p>
    <w:p>
      <w:r>
        <w:rPr>
          <w:b/>
        </w:rPr>
        <w:t>E. 3.2.2</w:t>
      </w:r>
    </w:p>
    <w:p>
      <w:r>
        <w:t>Concernant ses charges, l'appelante allègue des frais médicaux non couverts supplémentaires, estimés en dernier lieu à 350 fr. par mois, ainsi que des frais pour l'achat d'habits adaptés à sa nouvelle poitrine, à concurrence de 100 fr. par mois.</w:t>
      </w:r>
    </w:p>
    <w:p>
      <w:r>
        <w:t>- 11/16 -</w:t>
      </w:r>
    </w:p>
    <w:p>
      <w:r>
        <w:t>C/25248/2019 L'augmentation des frais médicaux n'est pas démontrée, dans la mesure où elle se fonde sur des pièces irrecevables (cf. consid. 2.2 supra). Par ailleurs, le montant allégué repose en partie sur la propre estimation de l'appelante concernant ses futurs coûts de santé, soit des charges hypothétiques qui ne peuvent être prises en considération. Il n'est ainsi pas rendu vraisemblable que le montant mensuel de 135 fr. retenu à ce titre par le premier juge, qui comporte déjà la franchise mensualisée ainsi qu'une participation aux coûts relative à la quote-part et aux frais non remboursés, ne soit pas suffisant. Ce dernier montant sera donc maintenu. Quant aux frais pour l'achat de nouveaux vêtements, ils ne sont documentés par aucun justificatif propre à établir, même sous l'angle de la vraisemblance, qu'ils constituent des dépenses effectives et régulières. Partant, ils ne seront pas retenus.</w:t>
      </w:r>
    </w:p>
    <w:p>
      <w:r>
        <w:rPr>
          <w:b/>
        </w:rPr>
        <w:t>E. 3.2.3</w:t>
      </w:r>
    </w:p>
    <w:p>
      <w:r>
        <w:t>En troisième lieu, l'appelante reproche au premier juge de ne pas avoir tenu compte de ses dettes actuelles, contractées auprès d'un tiers et de son ancien conseil pour l'activité déployée dans le cadre des mesures protectrices de l'union conjugale. S'il est certes établi que l'appelante a effectué des emprunts auprès d'une dénommée J______ les 30 octobre 2015, 1er mai 2017, 16 janvier 2018 et 2 juillet 2018 pour une somme totale de 2'800 fr., il n'est en revanche pas rendu vraisemblable qu'elle s'acquitte de leur remboursement. Il ressort en effet des pièces produites que le premier emprunt de 800 fr. avait d'ores et déjà été entièrement remboursé du temps de la vie commune, en date du 3 novembre 2015. Concernant les trois autres emprunts, aucun élément au dossier ne permet de retenir que l'appelante s'acquitterait de traites de remboursement. De plus, ces prêts ont été contractés après la séparation des parties et le prononcé du jugement sur mesures protectrices instaurant la séparation de biens entre les époux. Ainsi, et en l'absence de toute explication à cet égard, il n'est pas rendu vraisemblable que les dettes personnelles de l'appelante aient été contractées pour le bénéfice de la famille, ou décidées en commun avec l'intimé, voire dont les époux seraient débiteurs solidaires. Il en va de même des honoraires de son précédent conseil, qui servent les seuls intérêts de l'appelante et qui ont été expressément mis à sa charge lors du jugement rendu sur mesures protectrices. Par conséquent, c'est à bon droit que le premier juge n'a pas pris en compte les dettes personnelles de l'appelante.</w:t>
      </w:r>
    </w:p>
    <w:p>
      <w:r>
        <w:rPr>
          <w:b/>
        </w:rPr>
        <w:t>E. 3.2.4</w:t>
      </w:r>
    </w:p>
    <w:p>
      <w:r>
        <w:t>En quatrième lieu, l'appelante prétend qu'il convient d'ajouter dans son budget le minimum vital et la part au loyer de son fils F______ qui, bien que majeur, continue de vivre à sa charge au domicile familial. Or, les charges de F______ ont été prises en considération pour le calcul de la contribution d'entretien fixée en sa faveur dans le cadre des mesures protectrices de l'union conjugale. Il est par ailleurs établi par pièces que l'intimé continue de</w:t>
      </w:r>
    </w:p>
    <w:p>
      <w:r>
        <w:t>- 12/16 -</w:t>
      </w:r>
    </w:p>
    <w:p>
      <w:r>
        <w:t>C/25248/2019 s'acquitter, de surcroît en mains de l'appelante, de la contribution due à son fils à concurrence de 1'100 fr. par mois et verse directement à ce dernier, en sus, un montant mensuel de 50 fr. à titre d'argent de poche. Par conséquent, il n'y a pas lieu d'intégrer les frais de l'enfant majeur dans le budget de l'appelante, sous peine de les faire supporter à deux reprises à l'intimé.</w:t>
      </w:r>
    </w:p>
    <w:p>
      <w:r>
        <w:rPr>
          <w:b/>
        </w:rPr>
        <w:t>E. 3.2.5</w:t>
      </w:r>
    </w:p>
    <w:p>
      <w:r>
        <w:t>En dernier lieu, l'appelante critique les charges de C______, en ce qui concerne les frais médicaux et les loisirs. D'une part, elle fait valoir des frais médicaux mensuels non couverts de 91 fr. en lieu et place du montant de 46 fr. 80 retenu par le premier juge. Cette légère hausse, de quelque 50 fr. par mois, demeure toutefois sans incidence vu son caractère modique, ce d'autant plus que le Tribunal a arrondi vers le haut la contribution d'entretien en faveur de C______, permettant, le cas échéant, de couvrir ces frais. D'autre part, elle invoque un montant supplémentaire de 200 fr. par mois à titre de hobby, téléphone et argent de poche. Ce montant n'étant aucunement documenté, il doit être écarté. Quoi qu'il en soit, l'appelante ne tire aucune conséquence juridique de ses griefs puisqu'elle ne prétend pas qu'ils auraient une incidence sur sa propre situation et, par ailleurs, conclut expressément à la confirmation du montant de 1'100 fr. par mois pour l'entretien de C______.</w:t>
      </w:r>
    </w:p>
    <w:p>
      <w:r>
        <w:rPr>
          <w:b/>
        </w:rPr>
        <w:t>E. 3.2.6</w:t>
      </w:r>
    </w:p>
    <w:p>
      <w:r>
        <w:t>En ce qui concerne l'intimé, il produit devant la Cour son dernier avis de taxation, duquel il ressort un impôt total annuel de 14'620 fr. (13'485 fr. [ICC] + 1'135 fr. [IFD]), ce qui représente une charge fiscale mensuelle de 1'218 fr. Dans la mesure où ce montant ne paraît pas excessif par rapport à ses revenus, il sera pris en considération. Les charges de l'intimé seront dès lors actualisées sur ce point et, partant, augmentées de 170 fr. par mois. A défaut d'autre grief, le budget de l'intimé sera confirmé pour le surplus.</w:t>
      </w:r>
    </w:p>
    <w:p>
      <w:r>
        <w:rPr>
          <w:b/>
        </w:rPr>
        <w:t>E. 3.3</w:t>
      </w:r>
    </w:p>
    <w:p>
      <w:r>
        <w:t>Au vu de ce qui précède, la situation de l'appelante est modifiée uniquement en ce qui concerne ses revenus, lesquels sont réduits à 2'155 fr. par mois, ses griefs quant à ses charges étant infondés. Elle subit par conséquent un déficit mensuel de 1'515 fr. (2'155 fr. – 3'670 fr.). S'agissant de l'intimé, ses charges sont augmentées de 170 fr., ce qui réduit d'autant son disponible, nouvellement arrêté à 6'719 fr. (6'889 fr. [cf. consid. D. b. supra] – 170 fr.). Ainsi, après paiement de ses propres charges et de ses obligations d'entretien en faveur des enfants, dont les parties conviennent qu'elles doivent être toutes deux réglées avant le partage du disponible, l'intimé dispose d'un solde mensuel de 4'519 fr. (salaire: 11'904 fr. – charges propres de l'intimé: 5'185 fr. - contribution à l'entretien de C______ : 1'100 fr. – contribution à l'entretien de F______ : 1'100 fr.). L'excédent familial à partager s'élève en conséquence à 3'004 fr., après couverture du déficit de l'appelante (4'519 fr. – 1'515 fr.).</w:t>
      </w:r>
    </w:p>
    <w:p>
      <w:r>
        <w:t>- 13/16 -</w:t>
      </w:r>
    </w:p>
    <w:p>
      <w:r>
        <w:t>C/25248/2019 Il s'ensuit que la situation financière des parties nouvellement arrêtée, en particulier celle de l'appelante, diffère de celle retenue en première instance, ce qui justifie de calculer à nouveau la contribution d'entretien litigieuse. Les mesures protectrices étant fondées sur les devoirs réciproques des époux à contribuer chacun à l'entretien convenable de la famille tant que dure le mariage, il ne se justifie pas de restreindre l'appelante à ses charges incompressibles, correspondant à la couverture de son déficit. L'appelante peut en effet prétendre au maintien du niveau de vie dont les époux bénéficiaient durant la vie commune, ce qui se traduit par un partage de l'excédent familial. A cet égard, il ne se justifie pas de s'écarter du principe d'une répartition par moitié entre les époux, comme cela avait d'ailleurs été fait lors des mesures protectrices de l'union conjugale, dans la mesure où les enfants, aujourd'hui âgés de 15 et 18 ans, disposent d'une certaine autonomie, de sorte que leur prise en charge doit être relativisée. Par ailleurs, l'intimé exerce un large droit de visite d'un jour par semaine, d'un week- end sur deux, ainsi que de la moitié des vacances scolaires. De plus, il assume l'entier de leur entretien financier par le biais des contributions versées en leur faveur et en leur donnant, en sus, régulièrement de l'argent de poche. Dans ce contexte, la contribution en faveur de l'appelante sera fixée à 3'000 fr. arrondis par mois, comprenant la couverture de son déficit, ainsi qu'une part équitable de l'excédent familial. Le dies a quo fixé au jour du prononcé du jugement entrepris n'est pas critiqué. Il est au demeurant justifié vu les changements intervenus en dernier lieu dans la situation de l'appelante. Il sera donc confirmé. Le chiffre 3 du dispositif entrepris sera par conséquent réformé dans le sens des considérants qui précèdent.</w:t>
      </w:r>
    </w:p>
    <w:p>
      <w:r>
        <w:rPr>
          <w:b/>
        </w:rPr>
        <w:t>E. 4</w:t>
      </w:r>
    </w:p>
    <w:p>
      <w:r>
        <w:t>L'appelante conteste la provisio ad litem allouée en première instance et sollicite à ce titre un montant de 10'000 fr.</w:t>
      </w:r>
    </w:p>
    <w:p>
      <w:r>
        <w:rPr>
          <w:b/>
        </w:rPr>
        <w:t>E. 4.1</w:t>
      </w:r>
    </w:p>
    <w:p>
      <w:r>
        <w:t>La provisio ad litem a pour but de permettre à chaque conjoint de défendre correctement ses propres intérêts dans une procédure judiciaire, même de nature matrimoniale (ATF 117 II 127 consid. 6).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arrêts du Tribunal fédéral 5A_590/2019 du 13 février 2020 consid. 3.3; 5A_524/2017 du 9 octobre 2017 consid. 7.1; 5A_778/2012 du 24 janvier 2013 consid. 6.1).</w:t>
      </w:r>
    </w:p>
    <w:p>
      <w:r>
        <w:t>- 14/16 -</w:t>
      </w:r>
    </w:p>
    <w:p>
      <w:r>
        <w:t>C/25248/2019 Le versement d'une provisio ad litem interviendra lorsque la partie qui la requiert ne pourrait pas assumer les frais d'un procès sans recourir à des moyens qui lui seraient nécessaires pour couvrir son entretien courant (arrêts du Tribunal fédéral 5A_808/2016 du 21 mars 2017 consid. 4.1: 5A_372/2015 du 29 septembre 2015 consid. 4.1; FamPra 2008, n. 101, p. 965).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rPr>
          <w:b/>
        </w:rPr>
        <w:t>E. 4.2</w:t>
      </w:r>
    </w:p>
    <w:p>
      <w:r>
        <w:t>En l'espèce, le Tribunal a alloué une provision de 5'000 fr. à l'appelante pour les frais de première instance. Ce montant paraît adéquat au vu du litige, des conclusions prises par les parties et de l'ampleur de la procédure. Le litige ne présente pas une complexité particulière qui justifierait une provision plus importante. L'appelante ne prétend du reste pas que le montant alloué serait insuffisant pour couvrir ses frais de justice en première instance. A cet égard, les arriérés d'honoraires de son précédent conseil demeurent sans incidence puisqu'ils se rapportent à la procédure antérieure portant sur les mesures protectrices de l'union conjugale.</w:t>
      </w:r>
    </w:p>
    <w:p>
      <w:r>
        <w:t>Le chiffre 4 du dispositif entrepris sera dès lors confirmé.</w:t>
      </w:r>
    </w:p>
    <w:p>
      <w:r>
        <w:rPr>
          <w:b/>
        </w:rPr>
        <w:t>E. 5.1</w:t>
      </w:r>
    </w:p>
    <w:p>
      <w:r>
        <w:t>Lorsque l'autorité d'appel statue à nouveau, elle se prononce sur les frais de première instance (art. 318 al. 3 CPC).</w:t>
      </w:r>
    </w:p>
    <w:p>
      <w:r>
        <w:t>La décision du Tribunal de renvoyer les frais des mesures provisionnelles à la décision finale est conforme aux dispositions légales applicables en la matière (art. 104 al. 3 CPC) et n'est au demeurant pas contestée de manière motivée par les parties. Elle sera donc confirmée.</w:t>
      </w:r>
    </w:p>
    <w:p>
      <w:r>
        <w:rPr>
          <w:b/>
        </w:rPr>
        <w:t>E. 5.2</w:t>
      </w:r>
    </w:p>
    <w:p>
      <w:r>
        <w:t>Les frais judiciaires d'appel seront fixés à 1'500 fr., (art. 31 et 37 RTFMC) et entièrement compensés avec l'avance du même montant fournie par l'appelante, laquelle demeure acquise à l'Etat de Genève (art. 111 al. 1 CPC). Ils seront mis à la charge des parties pour moitié chacune, compte tenu de la nature et de l'issue du litige (art. 95, 106 al. 1 et 107 al. 1 let. c CPC). L'intimé sera en conséquence condamné à verser à l'appelante 750 fr. à titre de restitution partielle de l'avance fournie (art. 111 al. 2 CPC). Pour les mêmes motifs, chaque partie supportera ses propres dépens d'appel (art. 107 al. 1 let. c CPC). * * * * *</w:t>
      </w:r>
    </w:p>
    <w:p>
      <w:r>
        <w:t>- 15/16 -</w:t>
      </w:r>
    </w:p>
    <w:p>
      <w:r>
        <w:t>C/25248/2019</w:t>
      </w:r>
    </w:p>
    <w:p>
      <w:r>
        <w:t>PAR CES MOTIFS, La Chambre civile : A la forme : Déclare recevable l'appel interjeté le 29 juin 2020 par A______ contre l'ordonnance OTPI/374/2020 rendue le 15 juin 2020 par le Tribunal de première instance dans la cause C/25248/2019-19. Au fond : Annule le chiffre 3 de ce jugement et statuant à nouveau sur ce point. Condamne B______ à verser, par mois et d'avance, 3'000 fr. en mains de A______ au titre de contribution à son entretien et ce dès le prononcé du jugement du 15 juin 2020. Confirme le jugement entrepris pour le surplus. Déboute les parties de toutes autres conclusions. Sur les frais : Arrête les frais judiciaires d'appel à 1'500 fr., dit qu'ils sont entièrement compensés avec l'avance versée et les met à la charge des parties pour moitié chacune. Condamne en conséquence B______ à verser 750 fr. à A______ à titre de frais. Dit que chaque partie supporte ses propres dépens d'appel. Siégeant : Monsieur Cédric-Laurent MICHEL, président; Mesdames Pauline ERARD et Paola CAMPOMAGNANI, juges; Madame Roxane DUCOMMUN, greffière. Le président : Cédric-Laurent MICHEL</w:t>
      </w:r>
    </w:p>
    <w:p>
      <w:r>
        <w:t>La greffière : Roxane DUCOMMUN</w:t>
      </w:r>
    </w:p>
    <w:p>
      <w:r>
        <w:t>- 16/16 -</w:t>
      </w:r>
    </w:p>
    <w:p>
      <w:r>
        <w:t>C/25248/2019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