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ACJC/1612/2024 vom 7. Dezember 2023</w:t>
      </w:r>
    </w:p>
    <w:p>
      <w:r>
        <w:t>GE Cour de justice, 2023-12-07, FR</w:t>
      </w:r>
    </w:p>
    <w:p>
      <w:r>
        <w:rPr>
          <w:b/>
        </w:rPr>
        <w:t xml:space="preserve">Quelle: </w:t>
      </w:r>
      <w:r>
        <w:t>https://mcp.opencaselaw.ch/entscheid/ge_gerichte_ACJC_1612_2024</w:t>
      </w:r>
    </w:p>
    <w:p>
      <w:r>
        <w:t>FR: GE_GERICHTE ACJC/1612/2024 du 7 décembre 2023</w:t>
      </w:r>
    </w:p>
    <w:p>
      <w:r>
        <w:t>IT: GE_GERICHTE ACJC/1612/2024 del 7 dicembre 2023</w:t>
      </w:r>
    </w:p>
    <w:p>
      <w:pPr>
        <w:pStyle w:val="Heading2"/>
      </w:pPr>
      <w:r>
        <w:t>Erwägungen</w:t>
      </w:r>
    </w:p>
    <w:p>
      <w:r>
        <w:rPr>
          <w:b/>
        </w:rPr>
        <w:t>E. 1.1</w:t>
      </w:r>
    </w:p>
    <w:p>
      <w:r>
        <w:t>L'appel est recevable contre les décisions finales de première instance ou rendues sur mesures provisionnelles (art. 308 al. 1 CPC), dans les causes patrimoniales dont la valeur litigieuse, au dernier état des conclusions de première instance, est supérieure à 10'000 fr. (art. 308 al. 2 CPC). Selon la jurisprudence, lorsque le litige porte sur l'attribution provisoire – dans le cadre de mesures protectrices de l'union conjugale – d'un animal vivant en milieu domestique, l'affaire est de nature non pécuniaire, dans la mesure où l'intérêt idéal du recourant prévaut sur son intérêt pécuniaire à obtenir gain de cause (arrêt du Tribunal fédéral 5A_826/2015 du 25 janvier 2016 consid. 1). En l'espèce, dès lors qu'il s'agit de déterminer auprès de quelle partie le chien doit être placé provisoirement, la Cour retiendra que l'on se trouve en présence d'un litige non patrimonial, car il porte essentiellement sur une question de valeur affective et de bien-être de l'animal. La voie de l'appel est dès lors ouverte.</w:t>
      </w:r>
    </w:p>
    <w:p>
      <w:r>
        <w:rPr>
          <w:b/>
        </w:rPr>
        <w:t>E. 1.2</w:t>
      </w:r>
    </w:p>
    <w:p>
      <w:r>
        <w:t>Par ailleurs, l'appel a été interjeté auprès de l'autorité compétente (art. 120 al. 1 let. a LOJ), selon la forme prescrite par la loi (art. 130, 131 et 311 CPC) et dans le délai utile de dix jours (art. 142, 248 let. d et 314 al. 1 CPC), à l'encontre d'une décision sur mesures provisionnelles (art. 308 al. 1 let. b CPC). En effet, quoiqu'en dise l'intimée, on comprend ce que l'appelant reproche au premier juge, de sorte que la motivation de son appel est suffisante. L'appel est donc recevable.</w:t>
      </w:r>
    </w:p>
    <w:p>
      <w:r>
        <w:t>- 5/12 -</w:t>
      </w:r>
    </w:p>
    <w:p>
      <w:r>
        <w:t>C/11080/2024</w:t>
      </w:r>
    </w:p>
    <w:p>
      <w:r>
        <w:rPr>
          <w:b/>
        </w:rPr>
        <w:t>E. 1.3</w:t>
      </w:r>
    </w:p>
    <w:p>
      <w:r>
        <w:t>La cause est régie par la procédure sommaire (art. 248 let. d CPC) et soumise à la maxime des débats (art. 255 CPC a contrario) ainsi qu'au principe de disposition (art. 58 al. 1 CPC). Dans le cadre des mesures provisionnelles, le juge se limite à la vraisemblance des faits et à l'examen sommaire du droit, en se fondant sur les moyens de preuve immédiatement disponibles (ATF 131 III 473 consid. 2.3).</w:t>
      </w:r>
    </w:p>
    <w:p>
      <w:r>
        <w:rPr>
          <w:b/>
        </w:rPr>
        <w:t>E. 2</w:t>
      </w:r>
    </w:p>
    <w:p>
      <w:r>
        <w:t>L'appelant reproche au Tribunal d'avoir écarté de la procédure la réplique spontanée du 12 juillet 2024, déposée en vue de l'audience du 15 juillet 2024.</w:t>
      </w:r>
    </w:p>
    <w:p>
      <w:r>
        <w:rPr>
          <w:b/>
        </w:rPr>
        <w:t>E. 2.1</w:t>
      </w:r>
    </w:p>
    <w:p>
      <w:r>
        <w:t>En procédure sommaire, l’article 253 CPC met en œuvre le droit d’être entendu. Un second échange d’écritures n’y est pas prévu, de sorte qu’au vu de la nature de la procédure sommaire, il s’impose de faire preuve de retenue à cet égard. Cela ne change cependant rien au fait que les parties, en vertu des art. 6 §1 CEDH et/ou 29 al. 1 et 2 Cst., ont le droit de se déterminer sur toute écriture du tribunal ou de la partie adverse, indépendamment du fait que celle-ci contienne ou non des éléments nouveaux et importants (arrêt du Tribunal fédéral 5A_82/2015 du 16 juin 2015 consid. 4.1, in RSPC 2015 p. 424, n°1717). Cependant, l'avis de doctrine selon lequel le juge devrait, en procédure sommaire, accepter toute écriture des parties présentée même lors de l'audience ne saurait être suivi. Il va à l'encontre de la grande liberté de manœuvre que le législateur a entendu donner au juge dans la procédure sommaire en vue de réaliser la souplesse et la rapidité qui caractérisent celle-ci. Il va également à l'encontre de la jurisprudence, rejoignant sur ce point la doctrine majoritaire, qui reconnaît au juge (art. 124 CPC), et non aux parties, un pouvoir d'appréciation dans la manière de diriger la procédure (arrêt du Tribunal fédéral 5A_403/2014 du 19 août 2014 consid. 4.2). Il résulte de ce qui précède qu'à tout le moins en procédure sommaire l'exercice du droit à la réplique (et à la duplique) en la forme écrite n'est pas garanti. A cela s'ajoute que l'exercice dudit droit par écrit peut conduire à un "Stellungnahmenpingpong" dans lequel les parties se déterminent sans cesse sur l'écriture de leur partie adverse (JENT-SØRENSEN, KuKo ZPO, 2014, n° 7 ad art. 253). Afin d'éviter cet écueil, la tenue d'une audience peut représenter un moyen efficace et adéquat permettant aux parties d'épuiser le droit à la réplique sans multiplier les écritures (JENT-SØRENSEN, op. cit., n° 7 ad Art. 253; FRATINI, La mise en œuvre du droit à la réplique dans les nouveaux codes de procédure suisses, in Jusletter 14 novembre 2011, p. 4).</w:t>
      </w:r>
    </w:p>
    <w:p>
      <w:r>
        <w:rPr>
          <w:b/>
        </w:rPr>
        <w:t>E. 2.2</w:t>
      </w:r>
    </w:p>
    <w:p>
      <w:r>
        <w:t>En l'espèce, au vu des principes susmentionnés, c'est à bon droit que le Tribunal a déclaré irrecevable la réplique de l'appelant du 12 juillet 2024, lequel a pu exercer son droit de répliquer oralement lors de l'audience du 15 juillet 2024.</w:t>
      </w:r>
    </w:p>
    <w:p>
      <w:r>
        <w:t>- 6/12 -</w:t>
      </w:r>
    </w:p>
    <w:p>
      <w:r>
        <w:t>C/11080/2024 Le grief est infondé.</w:t>
      </w:r>
    </w:p>
    <w:p>
      <w:r>
        <w:rPr>
          <w:b/>
        </w:rPr>
        <w:t>E. 3</w:t>
      </w:r>
    </w:p>
    <w:p>
      <w:r>
        <w:t>janvier 2012 consid. 4.1). Le dommage difficilement réparable est principalement de nature factuelle; il concerne tout préjudice, patrimonial ou immatériel, et peut même résulter du seul écoulement du temps pendant le procès. Il y a en particulier dommage lorsqu'il y a atteinte à l'exercice d'un droit absolu, notamment un droit de propriété (HOHL, Procédure civile, Tome II, 2ème éd.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w:t>
      </w:r>
    </w:p>
    <w:p>
      <w:r>
        <w:t>- 7/12 -</w:t>
      </w:r>
    </w:p>
    <w:p>
      <w:r>
        <w:t>C/11080/2024 3.1.2 En vertu de l'art. 641 CC, le propriétaire d'une chose a le droit d'en disposer librement, dans les limites de la loi (al. 1). Il peut la revendiquer contre quiconque la détient sans droit et repousser toute usurpation (al. 2). Selon l'art. 641a CC, les animaux ne sont pas des choses (al. 1). Sauf disposition contraire, ils sont néanmoins régis par les mêmes règles que les choses (al. 2). Lorsque plusieurs personnes ont, chacune pour sa quote-part, la propriété d'une chose qui n'est pas matériellement divisée, elles en sont copropriétaires (art. 646 al. 1 CC). La copropriété cesse par le partage en nature, par la vente de gré à gré ou aux enchères avec répartition subséquente du prix, ou par l'acquisition que l'un ou plusieurs des copropriétaires font des parts des autres (art. 651 al. 1 CC). Chacun des copropriétaires a en principe le droit d'exiger le partage (art. 650 al. 1 CC). Lorsqu'il s'agit d'animaux qui vivent en milieu domestique et qui ne sont pas gardés dans un but patrimonial ou de gain, le juge attribue en cas de litige la propriété exclusive à la partie qui, en vertu des critères appliqués en matière de protection des animaux, représente la meilleure solution pour l'animal (art. 651a al. 1 CC). Le juge prend les mesures provisionnelles nécessaires, en particulier pour le placement provisoire de l'animal (art. 651a al. 3 CC). 3.1.3 Par les art. 641a et 651a CC, entrés vigueur le 1er avril 2003, le législateur a entendu souligner l'importance prise par le respect de la sensibilité animale et du sentiment d'affection que l'être humain peut parfois avoir pour un animal. Les animaux demeurent des objets de droits, mais occupent à ce titre une place distincte de celles des choses et autres objets de droits réel (STEINAUER, Les droits réels, Tome I, 6ème éd. 2019, n. 114, p. 77). Selon le rapport de la commission des affaires juridiques du Conseil des Etats du 25 janvier 2002, "la meilleure solution pour l'animal" au sens de l'art. 651a al. 1 CC ne vise pas seulement son hébergement et son alimentation, mais aussi la relation qu'il entretient avec l'homme, examinée uniquement sous l'angle de son intérêt à lui (FF 2002 3885, p. 3892). L'art. 651a al. 1 CC ne s'applique que si les copropriétaires ne s'entendent pas sur l'attribution de l'animal à l'un deux ou sur le transfert de la propriété de cet animal (vente, donation, etc.). Il ne vise que les animaux vivant "en milieu domestique", c'est-à-dire ceux vivant dans le proche environnement des copropriétaires (maison, jardin, étable, etc.) et avec lesquels ceux-ci ont certains liens affectifs. Parmi ces animaux, sont encore exclus du champ d'application de la règle les animaux de rente, élevés en vue des services qu'ils peuvent rendre ou des gains qu'ils peuvent procurer. Pour attribuer l'animal, le tribunal doit se référer aux critères ressortant de la législation sur la protection des animaux, notamment quant aux conditions de détention de l'animal et l'aptitude des copropriétaires à</w:t>
      </w:r>
    </w:p>
    <w:p>
      <w:r>
        <w:t>- 8/12 -</w:t>
      </w:r>
    </w:p>
    <w:p>
      <w:r>
        <w:t>C/11080/2024 s'occuper de celui-ci (cf. art. 2 à 6 LPA et 1 à 14 OPAn) (STEINAUER, op. cit., n. 1676 ss, p. 467). Le statut à part des animaux a souvent été discuté en doctrine sous l'angle du droit matrimonial. Ainsi, dès avant l'entrée en vigueur des art. 641a et 651a CC, la doctrine avait relevé le statut spécifique des animaux parmi les biens appartenant en copropriété aux époux (cf. art. 200 CC), en particulier lors du prononcé de mesures protectrices de l'union conjugale. Les animaux de compagnie n'étaient pas des objets mobiliers du ménage au sens étroit, à l'instar d'autres objets ayant une valeur affective ou de "divertissement", tels que les voitures ou les téléviseurs. Dans le choix de l'époux amené à conserver l'animal, la préférence devait être donnée à celui qui était en mesure de s'occuper de l'animal et de lui offrir ses conditions de vie habituelles, plutôt qu'à celui qui en retirait plus d'utilité. Un "droit de visite" sur l'animal était envisagé par la doctrine (BRÄM, Zürcher Kommentar vol. II/1c, 1998, n. 44 ad art. 176 CC). Ces nouvelles dispositions n'ont fait que codifier cette approche. L'art. 651a CC a placé le bien- être de l'animal au premier plan, en dépit des désirs des époux ou de la propriété réelle sur celui-ci. Cela ne signifie pas pour autant que l'animal devrait être placé sur le même pied que l'enfant dans la décision qui sera prise le concernant; l'animal est néanmoins une créature vivante et dotée de certaines émotions qui doivent être prises en compte (VETTERLI, FamKommentar - Scheidung, 3ème éd. 2017, n. 20 ad art. 176 CC). La doctrine se montre plutôt critique face à l'instauration d'un "droit de visite" à titre provisionnel, vu par certains auteurs comme une forme d'anthropomorphisation de l'animal. L'attribution de l'animal à l'un de ses maîtres au sens de l'art. 651a CC étant fondé uniquement sur le bien de l'animal, il n'y a pas lieu de tenir compte du désir de l'autre maître de maintenir un lien avec celui- ci. Un tel droit de visite serait d'ailleurs de nature à engendrer des conflits, préjudiciables au bien-être de l'animal (voir à ce sujet les développements de DE PORET, Le statut de l'animal en droit civil, thèse, 2006, n. 1066 ss; cf. ég. PERRUCHOUD, CR CC II, 2016, n. 14 ad art. 652 CC). 3.1.4 Un témoignage écrit (ou déposition écrite), bien que constituant un titre (art. 177 CPC), a une valeur probante limitée tant que son contenu n'a pas été confirmé par d'autres moyens de preuve. En procédure ordinaire, de tels écrits ne sont pas des moyens de preuve valables et ils doivent être exclus dans le cadre d'une appréciation anticipée admissible des preuves (arrêt du Tribunal fédéral 5A_723/2017 du 17 décembre 2018 consid. 7.4.2; DOLGE, Basler Kommentar, Zivilprozessordnung, n° 12 ad art. 177 CPC).</w:t>
      </w:r>
    </w:p>
    <w:p>
      <w:r>
        <w:rPr>
          <w:b/>
        </w:rPr>
        <w:t>E. 3.2</w:t>
      </w:r>
    </w:p>
    <w:p>
      <w:r>
        <w:t>En l'espèce, conformément aux principes susmentionnés, ce qui prime pour décider du placement provisoire du chien est le "bien-être" de celui-ci. Comme retenu justement par le Tribunal, il n'y a pas lieu de trancher à ce stade la question</w:t>
      </w:r>
    </w:p>
    <w:p>
      <w:r>
        <w:t>- 9/12 -</w:t>
      </w:r>
    </w:p>
    <w:p>
      <w:r>
        <w:t>C/11080/2024 de la propriété de l'animal, qui nécessitera en effet des investigations complémentaires. A cet égard, il sera relevé que le chien a été acquis alors que les parties entretenaient déjà une relation et qu'il a vécu avec elles jusqu'au divorce. Dès lors, les pièces produites par l'appelant sont insuffisantes, quoiqu'il en dise, pour établir, même au stade de la vraisemblance, qu'il serait seul propriétaire du chien. Il est acquis que le chien vit avec l'intimée depuis le début 2024, et qu'il n'a pas été vendu. Peu importe que celle-ci l'emmène ou pas, de manière ponctuelle, sur son lieu de travail. Les attestations produites à cet égard, outre qu'elles sont dénuées de force probante, ne sont pas pertinentes. Il est vrai que l'intimée n'a pas rendu vraisemblable qu'elle aurait amené le chien chez le vétérinaire depuis qu'elle le détient. Cela ne suffit cependant pas encore pour retenir que celui-ci serait maltraité. Comme considéré à juste titre par le Tribunal, aucun élément concret ne permet de retenir que le bien du chien serait mis à mal s'il restait auprès de l'intimée, à tout le moins le temps qu'il soit statué sur le fond de la cause. Il est vraisemblable, compte tenu du fait que cet animal a vécu avec les parties durant des années, que l'intimée y est également attachée et qu'elle ne lui veut aucun mal. L'appelant a ainsi échoué à rendre vraisemblable que le maintien de la situation actuelle lui causerait un dommage difficilement réparable. C'est donc à bon droit que le Tribunal a rejeté les mesures provisionnelles sollicitées, lesquelles relèvent davantage du désir de l'autre maître de maintenir un lien avec l'animal. La décision entreprise sera donc confirmée.</w:t>
      </w:r>
    </w:p>
    <w:p>
      <w:r>
        <w:rPr>
          <w:b/>
        </w:rPr>
        <w:t>E. 3.3</w:t>
      </w:r>
    </w:p>
    <w:p>
      <w:r>
        <w:t>Compte tenu de l'aspect émotionnel du litige, les parties étant manifestement toutes deux très attachées au chien, et des nombreuses démarches judiciaires, civiles et pénales, déjà entreprises, sans véritable succès pour l'une ou l'autre des parties, la résolution extrajudiciaire devrait être sérieusement envisagée. Les parties sont ainsi vivement encouragées à entreprendre une médiation, une brochure informative sur cette procédure, gratuite, étant jointe au présent arrêt.</w:t>
      </w:r>
    </w:p>
    <w:p>
      <w:r>
        <w:rPr>
          <w:b/>
        </w:rPr>
        <w:t>E. 4</w:t>
      </w:r>
    </w:p>
    <w:p>
      <w:r>
        <w:t>Enfin, l'appelant critique le montant des dépens alloués par le Tribunal à l'intimée.</w:t>
      </w:r>
    </w:p>
    <w:p>
      <w:r>
        <w:rPr>
          <w:b/>
        </w:rPr>
        <w:t>E. 4.1</w:t>
      </w:r>
    </w:p>
    <w:p>
      <w:r>
        <w:t>Les frais, qui comprennent les frais judiciaires et les dépens, sont mis à la charge de la partie succombante (art. 95 al. 1 et 106 al. 1 CPC). Si la contestation porte sur des affaires non pécuniaires, le défraiement est de 600 francs à 18'000 francs en fonction de l'importance et de la difficulté de la cause ainsi que selon le travail effectué (art. 86 RTFMC).</w:t>
      </w:r>
    </w:p>
    <w:p>
      <w:r>
        <w:t>- 10/12 -</w:t>
      </w:r>
    </w:p>
    <w:p>
      <w:r>
        <w:t>C/11080/2024 Pour les procédures sommaires, le défraiement est, dans la règle, réduit à deux tiers et au plus à une cinquième du tarif de l'art 85 RTFMC (art. 88 RTFMC). 4.2.1 En l'espèce, le montant des dépens mis à la charge de l'appelant par le Tribunal ne prête pas le flanc à la critique. Il tient équitablement compte de la difficulté de la cause et du travail effectué, le conseil de l'intimé ayant répondu à la requête, produit des pièces, et assisté à une audience devant le Tribunal, ainsi que du sort de la requête.</w:t>
      </w:r>
    </w:p>
    <w:p>
      <w:r>
        <w:t>4.2.2 Les frais d'appel, arrêtés à 1'500 fr., seront mis à la charge de l'appelant, qui succombe, et partiellement compensés avec l'avance opérée, acquise à l'Etat de Genève. L'appelant sera condamné à verser la somme de 700 fr. à l'Etat de Genève.</w:t>
      </w:r>
    </w:p>
    <w:p>
      <w:r>
        <w:t>L'appelant sera par ailleurs condamné à verser à l'intimée la somme de 1'000 fr. à titre de dépens d'appel (art. 86 RTFMC), compte tenu du travail du conseil de l'intimée, qui a répondu à l'appel en neuf pages. * * * * *</w:t>
      </w:r>
    </w:p>
    <w:p>
      <w:r>
        <w:t>- 11/12 -</w:t>
      </w:r>
    </w:p>
    <w:p>
      <w:r>
        <w:t>C/11080/2024 PAR CES MOTIFS, La Chambre civile : A la forme : Déclare recevable l'appel interjeté le 6 septembre 2024 par A______ contre l'ordonnance OTPI/524/2024 rendue le 21 août 2024 par le Tribunal de première instance dans la cause C/11080/2024. Au fond : Confirme cette ordonnance. Déboute les parties de toutes autres conclusions. Sur les frais : Arrête les frais judiciaires d'appel à 1'500 fr., les met à la charge de A______ et dit qu'ils sont partiellement compensés avec l'avance opérée, acquise à l'Etat de Genève. Condamne A______ à verser à l'Etat de Genève, soit pour lui les Services financiers du Pouvoir judiciaire, la somme de 700 fr. Condamne A______ à verser à B______ 1'000 fr. à titre de dépens d'appel. Siégeant : Monsieur Cédric-Laurent MICHEL, président; Madame Pauline ERARD, Madame Paola CAMPOMAGNANI, juges; Madame Sandra CARRIER, greffière.</w:t>
      </w:r>
    </w:p>
    <w:p>
      <w:r>
        <w:t>Le président : Cédric-Laurent MICHEL</w:t>
      </w:r>
    </w:p>
    <w:p>
      <w:r>
        <w:t>La greffière : Sandra CARRIER</w:t>
      </w:r>
    </w:p>
    <w:p>
      <w:r>
        <w:t>- 12/12 -</w:t>
      </w:r>
    </w:p>
    <w:p>
      <w:r>
        <w:t>C/11080/2024</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