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ACJC/1612/2019 vom 10. Juli 2019</w:t>
      </w:r>
    </w:p>
    <w:p>
      <w:r>
        <w:t>GE Cour de justice, 2019-07-10, FR</w:t>
      </w:r>
    </w:p>
    <w:p>
      <w:r>
        <w:rPr>
          <w:b/>
        </w:rPr>
        <w:t xml:space="preserve">Quelle: </w:t>
      </w:r>
      <w:r>
        <w:t>https://mcp.opencaselaw.ch/entscheid/ge_gerichte_ACJC_1612_2019</w:t>
      </w:r>
    </w:p>
    <w:p>
      <w:r>
        <w:t>FR: GE_GERICHTE ACJC/1612/2019 du 10 juillet 2019</w:t>
      </w:r>
    </w:p>
    <w:p>
      <w:r>
        <w:t>IT: GE_GERICHTE ACJC/1612/2019 del 10 luglio 2019</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- 6/10 -</w:t>
      </w:r>
    </w:p>
    <w:p>
      <w:r>
        <w:t>C/1484/2019</w:t>
      </w:r>
    </w:p>
    <w:p>
      <w:r>
        <w:rPr>
          <w:b/>
        </w:rPr>
        <w:t>E. 2</w:t>
      </w:r>
    </w:p>
    <w:p>
      <w:r>
        <w:t>Les conclusions, les allégations de faits et les preuves nouvelles sont irrecevables (art. 326 al. 1 CPC).</w:t>
      </w:r>
    </w:p>
    <w:p>
      <w:r>
        <w:t>Le procès-verbal de l'audience qui s'est tenue devant le Tribunal ne contenant aucune allégation des parties, il n'est pas possible de savoir si les écritures de la recourante en comportent de nouvelles. Cela étant, la recourante ne remet pas en cause les faits tels que retenus dans la décision querellée, se limitant à se plaindre de ce que le Tribunal a omis de prendre en compte le déroulement chronologique de la relation entre les parties. Elle ne fait en particulier pas valoir une constatation arbitraire des faits par le Tribunal. Ainsi, seuls ceux retenus par le premier juge, repris ci-dessus, seront pris en considération, à l'exclusion de toute autre allégation.</w:t>
      </w:r>
    </w:p>
    <w:p>
      <w:r>
        <w:rPr>
          <w:b/>
        </w:rPr>
        <w:t>E. 3</w:t>
      </w:r>
    </w:p>
    <w:p>
      <w:r>
        <w:t>La recourante fait grief au Tribunal d'avoir considéré que la convention du 2 avril 2017 constituait une reconnaissance de dette. Selon elle, la mention à l'art. 2 que le montant des honoraires était dû "en rapport avec l'ensemble des prestations déjà réalisées " par l'intimée était erronée. En effet, les prestations mentionnées dans les factures, d'ailleurs datées d'avant la convention (9 mars 2017), dépendaient de la signature de contrats d'entreprise générale, intervenue le 11 avril 2017. L'intimée abusait de son droit en se fondant sur la convention pour réclamer des montants pour des prestations qu'elle n'avait pas effectuées. Au vu des pièces produites, le Tribunal aurait dû considérer qu'elle n'avait pu reconnaître devoir un montant pour des prestations futures qui n'avaient pas encore été réalisées et qui ne l'avaient pas été ultérieurement. Elle soutient qu'elle n'a pas excipé de compensation comme retenu par le premier juge.</w:t>
      </w:r>
    </w:p>
    <w:p>
      <w:r>
        <w:t>3.1.1 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w:t>
      </w:r>
    </w:p>
    <w:p>
      <w:r>
        <w:t>- 7/10 -</w:t>
      </w:r>
    </w:p>
    <w:p>
      <w:r>
        <w:t>C/1484/2019 KOTTMANN, Bundesgesetz über Schuldbetreibung und Konkurs, 4ème édition, 1997, n. 10 ad art. 82 LP).</w:t>
      </w:r>
    </w:p>
    <w:p>
      <w:r>
        <w:t>3.1.2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 L'abus de droit peut être invoqué dans la procédure de mainlevée provisoire; cette exception reste toutefois exceptionnelle dans la mesure où l'instruction des questions factuelles correspondantes est généralement incompatible avec la nature documentaire de la procédure de mainlevée (ABBET/VEUILLET, La mainlevée de l'opposition, n. 134 ad art. 82 LP). 3.1.3 Pour justifier de la mainlevée d'opposition, la créance doit être exigible au plus tard au moment de l'introduction de la poursuite, c'est-à-dire lors de la notification du commandement de payer. Il n'est en revanche pas nécessaire que la créance ait été exigible lors de l'établissement et/ou signature de la reconnaissance de dette (ABBET/VEUILLET, La mainlevée de l'opposition, n. 95 ad art. 82 LP). 3.1.4 Le juge de la mainlevée provisoire ne peut procéder qu'à l'interprétation objective du titre fondée sur le principe de la confiance (arrêt du Tribunal fédéral 5A_867/2018 du 4 mars 2019 consid. 4.1.3). Selon la jurisprudence, l'interprétation objective du titre fondée sur le principe de la confiance implique que le juge doit interpréter les déclarations et comportements des parties en recherchant comment une déclaration ou une attitude pouvait de bonne foi être comprise en fonction de l'ensemble des circonstances (ATF 144 III 93 consid. 5.2.3 p. 98 s. et les arrêts cités). Le juge de la mainlevée provisoire ne peut toutefois prendre en compte que les éléments intrinsèques au titre, à l'exclusion des éléments extrinsèques qui échappent à son pouvoir d'examen (ATF 145 III 20 consid. 4.3.3; arrêt du Tribunal fédéral 5A_648/2018 du 25 février 2019 consid. 3.2.1 non destiné à la publication, et les références).</w:t>
      </w:r>
    </w:p>
    <w:p>
      <w:r>
        <w:t>- 8/10 -</w:t>
      </w:r>
    </w:p>
    <w:p>
      <w:r>
        <w:t>C/1484/2019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5A_89/2019 du 1er mai 2019, consid. 5.1.3; 5A_735/2012 du 17 avril 2013 consid. 2 et la référence).</w:t>
      </w:r>
    </w:p>
    <w:p>
      <w:r>
        <w:rPr>
          <w:b/>
        </w:rPr>
        <w:t>E. 3.2</w:t>
      </w:r>
    </w:p>
    <w:p>
      <w:r>
        <w:t>En l'espèce, il ressort clairement des pièces produites, en particulier de la convention d'honoraires du 2 avril 2017, que l'intimée avait effectué diverses prestations en 2016, facturées le 9 mars 2017, et que la recourante reconnaissait devoir les honoraires dus en relation avec ces prestations, soit au total 385'000 fr. Seule l'exigibilité de ce montant, payable en plusieurs tranches, était différée. L'allégation selon laquelle au moment de la signature du contrat, des prestations restaient à effectuer, contrairement à ce qui était mentionné dans la convention sans ambiguïté, n'est pas rendue vraisemblable par la recourante. Il appartiendra cas échéant au juge du fond d'instruire ce point. Aucun élément ne vient non plus étayer un prétendu abus de droit de l'intimée. Au contraire, on comprend de la chronologie des faits que cette dernière, après avoir mené à terme les aspects techniques d'un projet immobilier en 2016 et obtenu l'autorisation de la réaliser en 2017, a confié à la recourante l'exécution de ce projet tout en s'assurant du paiement du travail qu'elle avait fourni et qui était facturé. La recourante, pour obtenir le contrat d'entreprise générale, s'est engagée à payer l'intimée pour le travail effectué, au fur et à mesure qu'elle encaisserait des acomptes des acquéreurs des villas. Les courriers de la recourante à l'intimée confirment ce qui précède. En effet, la recourante explique qu'elle attend un paiement des propriétaires pour verser ce qu'elle doit à l'intimée. A aucun moment, si ce n'est après la notification du commandement de payer, la recourante n'a contesté devoir le dernier acompte de 77'000 fr., dont le solde fait l'objet de la poursuite. D'ailleurs, si comme elle le prétend l'intimée n'avait pas exécuté les prestations futures qu'elle se serait engagée à réaliser, on comprend mal pourquoi la recourante a versé la presque totalité du montant de 385'000 fr. qu'elle s'était engagée à payer aux termes de la convention. On peut encore relever que l'argumentation de la recourante a varié en cours de procédure, ce qui la rend peu crédible. Dans le courrier du 11 avril 2019, elle soutient avoir versé des montants en trop, au regard des prestations prétendument non fournies par l'intimée, et se prétend créancière de l'intimée à concurrence de 11'300 fr. après compensation avec la créance de l'intimée de 58'000 fr. Dans la procédure de recours, elle affirme qu'elle n'excipe aucunement de compensation.</w:t>
      </w:r>
    </w:p>
    <w:p>
      <w:r>
        <w:t>- 9/10 -</w:t>
      </w:r>
    </w:p>
    <w:p>
      <w:r>
        <w:t>C/1484/2019 C'est ainsi à bon droit que le Tribunal a considéré que la convention d'honoraires du 2 avril 2017 constituait une reconnaissance de dette et a en conséquence prononcé la mainlevée provisoire. Le recours est infondé et doit être rejeté.</w:t>
      </w:r>
    </w:p>
    <w:p>
      <w:r>
        <w:rPr>
          <w:b/>
        </w:rPr>
        <w:t>E. 4</w:t>
      </w:r>
    </w:p>
    <w:p>
      <w:r>
        <w:t>La recourante, qui succombe, sera condamné aux frais judiciaires (art. 106 al. 1 et 3 CPC), arrêtés à 750 fr. (art. 48 et 61 al. 1 OELP), y compris la décision sur effet suspensif, et compensés avec l'avance fournie, acquise à l'Etat de Genève (art. 111 al. 1 CPC).</w:t>
      </w:r>
    </w:p>
    <w:p>
      <w:r>
        <w:t>Elle sera par ailleurs condamnée à payer à l'intimée des dépens arrêtés à 1'200 fr., débours et TVA compris (art. 105 al. 2 CPC; art. 85, 89 et 90 RTFMC; art. 25 et 26 LaCC). * * * * *</w:t>
      </w:r>
    </w:p>
    <w:p>
      <w:r>
        <w:t>- 10/10 -</w:t>
      </w:r>
    </w:p>
    <w:p>
      <w:r>
        <w:t>C/1484/2019 PAR CES MOTIFS, La Chambre civile : A la forme : Déclare recevable le recours interjeté par A______ SA contre le jugement JTPI/10247/2019 rendu le 10 juillet 2019 par le Tribunal de première instance dans la cause C/1484/2019-3 SML. Au fond : Le rejette. Sur les frais : Arrête les frais judiciaires du recours à 750 fr., les met à la charge de A______ SA et dit qu'ils sont compensés avec l'avance fournie, acquise à l'Etat de Genève. Condamne A______ SA à verser à B______ SÀRL la somme de 1'200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