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ACJC/160/2021 vom 5. Februar 2021</w:t>
      </w:r>
    </w:p>
    <w:p>
      <w:r>
        <w:t>GE Cour de justice, 2021-02-05, FR</w:t>
      </w:r>
    </w:p>
    <w:p>
      <w:r>
        <w:rPr>
          <w:b/>
        </w:rPr>
        <w:t xml:space="preserve">Quelle: </w:t>
      </w:r>
      <w:r>
        <w:t>https://mcp.opencaselaw.ch/entscheid/ge_gerichte_ACJC_160_2021</w:t>
      </w:r>
    </w:p>
    <w:p>
      <w:r>
        <w:t>FR: GE_GERICHTE ACJC/160/2021 du 5 février 2021</w:t>
      </w:r>
    </w:p>
    <w:p>
      <w:r>
        <w:t>IT: GE_GERICHTE ACJC/160/2021 del 5 febbraio 2021</w:t>
      </w:r>
    </w:p>
    <w:p>
      <w:pPr>
        <w:pStyle w:val="Heading2"/>
      </w:pPr>
      <w:r>
        <w:t>Erwägungen</w:t>
      </w:r>
    </w:p>
    <w:p>
      <w:r>
        <w:rPr>
          <w:b/>
        </w:rPr>
        <w:t>E. 1.1</w:t>
      </w:r>
    </w:p>
    <w:p>
      <w:r>
        <w:t>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w:t>
      </w:r>
    </w:p>
    <w:p>
      <w:r>
        <w:t>- 4/9 -</w:t>
      </w:r>
    </w:p>
    <w:p>
      <w:r>
        <w:t>C/11198/2020</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1.5</w:t>
      </w:r>
    </w:p>
    <w:p>
      <w:r>
        <w:t>Les conclusions, allégations de fait et preuves nouvelles sont irrecevables dans le cadre d'un recours (art. 326 CPC). Dès lors, les pièces nouvellement versées par les parties sont irrecevables, ainsi que les allégués de fait s'y rapportant.</w:t>
      </w:r>
    </w:p>
    <w:p>
      <w:r>
        <w:rPr>
          <w:b/>
        </w:rPr>
        <w:t>E. 1.6</w:t>
      </w:r>
    </w:p>
    <w:p>
      <w:r>
        <w:t>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w:t>
      </w:r>
    </w:p>
    <w:p>
      <w:r>
        <w:t>- 5/9 -</w:t>
      </w:r>
    </w:p>
    <w:p>
      <w:r>
        <w:t>C/11198/2020 En l'espèce, c'est par erreur que le Tribunal a désigné A______ SA comme partie requérante, en lieu et place de A______ SA. En effet, tant l'extrait du Registre du commerce (fait notoire), que la mention en pied-de-page de la requête, que le commandement de payer, mentionnent A______ SA. Dès lors qu'il n'existe aucun risque de confusion, la qualité de partie de A______ SA sera rectifiée en A______ SA.</w:t>
      </w:r>
    </w:p>
    <w:p>
      <w:r>
        <w:rPr>
          <w:b/>
        </w:rPr>
        <w:t>E. 2</w:t>
      </w:r>
    </w:p>
    <w:p>
      <w:r>
        <w:t>La recourante reproche au Tribunal de ne pas avoir prononcé la mainlevée provisoire de l'opposition.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- 6/9 -</w:t>
      </w:r>
    </w:p>
    <w:p>
      <w:r>
        <w:t>C/11198/2020 Des factures ne valent pas reconnaissance de dette et ce, même si elles ne sont pas contestées (arrêt du Tribunal fédéral 5P.290/2006 du 12 octobre 2006 consid. 3.2). Un bulletin de livraison signé par l'acquéreur ne vaut à lui seul titre de mainlevée que s'il mentionne la marchandise livrée ainsi que le prix (cas échéant prix unitaire et quantité). Si le prix n'est pas mentionné, le bulletin signé même rapproché des factures correspondantes (non signées), ne vaut pas titre de mainlevée. Si le prix unitaire résulte de conditions annuelles, il est nécessaire qu'elles soient elles aussi signées par le débiteur (VEUILLET, La mainlevée de l'opposition, 2017, p. 119-120, n. 39; arrêt du Tribunal fédéral précité 5P.290/2016 du 12 octobre 2006 consid. 3.3; cf. également KRAUSKOPF, La mainlevée provisoire : quelques jurisprudences récentes, in JdT 2008 II 23, p. 26). Pour justifier la mainlevée de l'opposition, la créance doit être exigible au plus tard au moment de l'introduction de la poursuite, c'est-à-dire lors de la notification du commandement de payer (VEUILLET, op. cit., n. 95 ad art. 82 LP). 2.1.2 La reconnaissance de dette sous seing privé doit être signée par le débiteur ou son représentant (ATF 130 III 87 consid. 3.1; arrêts du tribunal fédéral 5A_577/2013 du 7 octobre 2013 consid. 4.2.1; 5A_849/2012 du 25 juin 2013 consid. 2.1). Lorsque le débiteur est une personne morale, la mainlevée provisoire peut en principe être accordée si les pouvoir de l'organe (art. 55 al. 2 CC) ou du représentant (art. 32 al. 1 CO; art. 458 et 462 CO) qui a signé sont documentés par pièces. C'est au débiteur de rendre vraisemblable que la signature figurant sur le titre n'est pas celle d'un représentant de la société. La jurisprudence a admis qu'il n'était pas arbitraire de prononcer la mainlevée même en l'absence d'une procuration écrite lorsque les pouvoirs du représentant ou de l'organe ne sont pas contestés ou s'ils peuvent se déduire d'un comportement concluant du représenté ou de la société au cours de la procédure de mainlevée, comportement dont il résulte clairement que le représentant ou l'organe a signé en vertu de pouvoirs (ATF 132 III 140 consid. 4.1.1; VEUILLET, op. cit., n. 20 ad art. 82 LP). Il incombe au créancier d'apporter la preuve stricte de l'existence d'un titre de mainlevée (arrêt du Tribunal fédéral 5A_1017/2017 du 12 septembre 2018 consid. 4.2, 4.3.1 et 4.3.2).</w:t>
      </w:r>
    </w:p>
    <w:p>
      <w:r>
        <w:rPr>
          <w:b/>
        </w:rPr>
        <w:t>E. 2.2</w:t>
      </w:r>
    </w:p>
    <w:p>
      <w:r>
        <w:t>En l'espèce, la recourante a produit, en guise de titre de mainlevée, un bon de livraison, faisant état de la remise de 36 articles à 16 fr. 02 et 12 articles à 8 fr. 46 (représentant un montant total de 678 fr. 24, hors TVA), signé, ainsi qu'une facture de 730 fr. 45. A teneur du procès-verbal de l'audience tenue par le Tribunal, l'intimée n'a pas contesté que la signature figurant sur le bon de livraison avait été apposée par un organe pouvant l'engager valablement ou par un représentant disposant des</w:t>
      </w:r>
    </w:p>
    <w:p>
      <w:r>
        <w:t>- 7/9 -</w:t>
      </w:r>
    </w:p>
    <w:p>
      <w:r>
        <w:t>C/11198/2020 pouvoirs nécessaires. Elle s'est contentée d'indiquer ne pas avoir commandé la marchandise livrée par la recourante. Comme retenu ci-avant, les allégations nouvelles de l'intimée (quant à la validité de son engagement par l'un de ses employés) ne sont pas recevables (cf. consid. 1.5 supra). La facture mentionnée dans le commandement de payer - qui ne constitue pas en elle-même une reconnaissance dette puisqu'elle ne porte pas de signature - indique le même numéro de commande (3______) que celui figurant sur le bon de livraison de la marchandise. Ces deux titres mentionnent la livraison de 36 articles, référence 4______, "E______" F______ AOC, au prix de 16 fr. 03 l'unité, et 12 articles, référence 5______, "E______" F______ AOC, au prix unitaire de 8 fr. 46. Ces articles représentent un montant total de 678 fr. 24, auquel s'ajoute 7,7% de TVA (52 fr. 22), soit une somme totale de 730 fr. 45. ainsi que d'un bulletin de livraison, signé, du 28 mai 2019, faisant état de la remise de 36 articles, référence 4______, à 16 fr. 02 et 12 articles, référence 5______, à 8 fr. 46, "E______" F______ AOC. Il résulte donc du rapprochement de ces deux pièces qu'il y a identité entre la prétention déduite en poursuite et la dette reconnue. Il doit donc être considéré, au vu de ce qui précède, que la recourante dispose d'une reconnaissance de dette pour le montant réclamé par voie de poursuite.</w:t>
      </w:r>
    </w:p>
    <w:p>
      <w:r>
        <w:rPr>
          <w:b/>
        </w:rPr>
        <w:t>E. 2.3</w:t>
      </w:r>
    </w:p>
    <w:p>
      <w:r>
        <w:t>Le jugement attaqué sera dès lors annulé et la mainlevée provisoire de l'opposition sera prononcée (art. 327 al. 3 let. b CPC).</w:t>
      </w:r>
    </w:p>
    <w:p>
      <w:r>
        <w:rPr>
          <w:b/>
        </w:rPr>
        <w:t>E. 3</w:t>
      </w:r>
    </w:p>
    <w:p>
      <w:r>
        <w:t>Les frais judicaires de première et de seconde instance seront arrêtés, respectivement, à 150 fr. et 225 fr. Ils seront mis à la charge de l'intimée, qui succombe (art. 106 al. 1 CPC), laquelle sera condamnée à verser la somme totale de 375 fr. à la recourante qui en a fait l'avance, laquelle reste acquise à l'Etat de Genève (art. 111 al. 1 CPC).</w:t>
      </w:r>
    </w:p>
    <w:p>
      <w:r>
        <w:t>Il ne sera pas alloué de dépens de recours à la recourante, qui n'en a pas requis (ATF 139 III 334 consid. 4.2). * * * * *</w:t>
      </w:r>
    </w:p>
    <w:p>
      <w:r>
        <w:t>- 8/9 -</w:t>
      </w:r>
    </w:p>
    <w:p>
      <w:r>
        <w:t>C/11198/2020 PAR CES MOTIFS, La Chambre civile : Préalablement : Rectifie la qualité de A______ SA en A______ SA [orthographe différente]. A la forme : Déclare recevable le recours interjeté le 27 octobre 2020 par A______ SA contre le jugement JTPI/12553/2020 rendu le 12 octobre 2020 par le Tribunal de première instance dans la cause C/11198/2020-9 SML. Au fond : Annule ce jugement. Cela fait et statuant à nouveau : Prononce la mainlevée provisoire de l'opposition formée au commandement de payer, poursuite n° 1______. Déboute les parties de toutes autres conclusions. Sur les frais : Arrête les frais judiciaires des deux instances à 375 fr., compensés avec les avances de frais fournies, acquises à l'Etat de Genève, et les met à la charge de B______ SARL. Condamne B______ SARL à verser 375 fr. à ce titre à A______ SA.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- 9/9 -</w:t>
      </w:r>
    </w:p>
    <w:p>
      <w:r>
        <w:t>C/11198/2020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