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ACJC/1609/2020 vom 17. November 2020</w:t>
      </w:r>
    </w:p>
    <w:p>
      <w:r>
        <w:t>GE Cour de justice, 2020-11-17, FR</w:t>
      </w:r>
    </w:p>
    <w:p>
      <w:r>
        <w:rPr>
          <w:b/>
        </w:rPr>
        <w:t xml:space="preserve">Quelle: </w:t>
      </w:r>
      <w:r>
        <w:t>https://mcp.opencaselaw.ch/entscheid/ge_gerichte_ACJC_1609_2020</w:t>
      </w:r>
    </w:p>
    <w:p>
      <w:r>
        <w:t>FR: GE_GERICHTE ACJC/1609/2020 du 17 novembre 2020</w:t>
      </w:r>
    </w:p>
    <w:p>
      <w:r>
        <w:t>IT: GE_GERICHTE ACJC/1609/2020 del 17 novembre 2020</w:t>
      </w:r>
    </w:p>
    <w:p>
      <w:pPr>
        <w:pStyle w:val="Heading2"/>
      </w:pPr>
      <w:r>
        <w:t>Erwägungen</w:t>
      </w:r>
    </w:p>
    <w:p>
      <w:r>
        <w:rPr>
          <w:b/>
        </w:rPr>
        <w:t>E. 1</w:t>
      </w:r>
    </w:p>
    <w:p>
      <w:r>
        <w:t>La présente cause a été suspendue jusqu'à droit jugé par le Tribunal fédéral sur le recours formé par la CONFEDERATION SUISSE contre l'ACJC/147/2020 rendu le 27 janvier 2020 dans la cause C/1______/2019 opposant cette dernière à A______ SA et E______.</w:t>
      </w:r>
    </w:p>
    <w:p>
      <w:r>
        <w:t>Par arrêt du 8 septembre 2020, le Tribunal fédéral a rejeté le recours précité.</w:t>
      </w:r>
    </w:p>
    <w:p>
      <w:r>
        <w:t>La cause de suspension ayant disparu, il convient de reprendre l'instruction de la présente cause.</w:t>
      </w:r>
    </w:p>
    <w:p>
      <w:r>
        <w:t>Contrairement à ce que fait valoir l'appelante, aucun motif ne justifie de surseoir à statuer plus longtemps.</w:t>
      </w:r>
    </w:p>
    <w:p>
      <w:r>
        <w:rPr>
          <w:b/>
        </w:rPr>
        <w:t>E. 2.1</w:t>
      </w:r>
    </w:p>
    <w:p>
      <w:r>
        <w:t>Dans les affaires patrimoniales, l'appel est recevable contre les décisions de première instance sur mesures provisionnelles si la valeur litigieuse est de 10'000 fr. au moins (art. 308 al. 1 let. b et al. 2 CPC).</w:t>
      </w:r>
    </w:p>
    <w:p>
      <w:r>
        <w:t>En l'espèce, la valeur litigieuse correspond aux prétentions que l'appelante allègue avoir contre les intimés et est ainsi supérieure à 10'000 fr. La voie de l'appel est par conséquent ouverte.</w:t>
      </w:r>
    </w:p>
    <w:p>
      <w:r>
        <w:t>Interjeté dans les délai et forme utiles (art. 130, 131 et 314 al. 1 CPC), l'appel est recevable.</w:t>
      </w:r>
    </w:p>
    <w:p>
      <w:r>
        <w:rPr>
          <w:b/>
        </w:rPr>
        <w:t>E. 2.2</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3</w:t>
      </w:r>
    </w:p>
    <w:p>
      <w:r>
        <w:t>Dans l'arrêt 4A_132/2020 du 8 septembre 2020, rendu dans le cadre de la cause C/1______/2019, le Tribunal fédéral a considéré que, si une requête de preuve à futur "hors procès" est déposée alors qu'un procès au fond est déjà pendant, ce qu'il est dès le dépôt de la requête de conciliation (art. 62 al. 1 CPC), le tribunal nouvellement saisi doit se déclarer incompétent. Si une requête de preuve à futur "hors procès" est déposée et que, postérieurement, un procès au fond est introduit, ce qui est le cas dès que la requête de conciliation est introduite, le premier tribunal doit se déclarer incompétent, conformément au principe général selon lequel les conditions de la compétence doivent encore être remplies au moment de la décision. Il appartiendra au juge saisi de l'action au fond de procéder à l'administration des preuves, si nécessaire en preuve à futur, c'est-à-dire</w:t>
      </w:r>
    </w:p>
    <w:p>
      <w:r>
        <w:t>- 5/7 -</w:t>
      </w:r>
    </w:p>
    <w:p>
      <w:r>
        <w:t>C/20700/2019 antérieurement au stade habituel de l'administration des preuves en procédure ordinaire (arrêt du Tribunal fédéral 4A_132/2020 du 8 septembre 2020 consid. 3.2). Cette stricte délimitation de compétences s'impose notamment en raison des principes fondamentaux que sont le principe d'économie de procédure (cf. ATF 134 III 188 consid. 2.2 p. 191) et le principe selon lequel le prononcé de décisions contradictoires doit être évité (cf. ATF 124 III 463 consid. 4b/dd p. 466). En effet, il ne serait pas compatible avec ces deux principes d'admettre que le juge saisi d'une requête de preuve à futur reste compétent quand bien même un autre juge a été saisi au fond: cette situation conduirait à ce que deux juges soient saisis, pour des aspects certes potentiellement différents, de la même requête et pourrait mener à des décisions contradictoires (arrêt du Tribunal fédéral 4A_132/2020 du</w:t>
      </w:r>
    </w:p>
    <w:p>
      <w:r>
        <w:rPr>
          <w:b/>
        </w:rPr>
        <w:t>E. 8</w:t>
      </w:r>
    </w:p>
    <w:p>
      <w:r>
        <w:t>septembre 2020 consid 3.2). Au vu de ces considérants que c'est à juste titre que le Tribunal a, en l'espèce, refusé d'entrer en matière sur les prétentions de l'appelante tendant à ce qu'une expertise soit effectuée par la voie de preuve à futur au motif qu'une procédure au fond était déjà pendante au moment où il devait statuer. L'appelante ne le conteste d'ailleurs plus à ce stade du litige. Son appel doit par conséquent être rejeté et la décision du Tribunal confirmée. 4. 4.1 Selon l'art. 317 al. 1 CPC, les faits et moyens de preuve nouveaux ne sont pris en compte en appel que s'ils sont invoqués ou produits sans retard et s'ils ne pouvaient être invoqués ou produits devant la première instance bien que la partie qui s'en prévaut ait fait preuve de la diligence requise. La demande ne peut être modifiée que si les conditions fixées à l'art. 227 al. 1 CPC sont remplies et si la modification repose sur des faits ou des moyens de preuve nouveaux (art. 317 al. 2 CPC). Selon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w:t>
      </w:r>
    </w:p>
    <w:p>
      <w:r>
        <w:t>L'art. 317 CPC concerne les faits. L'argumentation juridique n'est pas visée par cette disposition (arrêt du Tribunal fédéral 4A_486/2017 du 23 mars 2018 consid. 3.2.1 et 3.2.2).</w:t>
      </w:r>
    </w:p>
    <w:p>
      <w:r>
        <w:t>- 6/7 -</w:t>
      </w:r>
    </w:p>
    <w:p>
      <w:r>
        <w:t>C/20700/2019</w:t>
      </w:r>
    </w:p>
    <w:p>
      <w:r>
        <w:t>4.2 La Cour ne saurait, comme le demande l'appelante dans ses dernières conclusions, transmettre sa requête de preuve à futur au juge du fond qui sera saisi de la cause C/2______/2019 lorsque celle-ci aura été introduite.</w:t>
      </w:r>
    </w:p>
    <w:p>
      <w:r>
        <w:t>Cette conclusion nouvelle est irrecevable, car elle ne répond pas aux exigences de l'art. 317 al. 2 CPC. En effet, elle n'est pas fondée sur des faits nouveaux, mais sur une nouvelle argumentation juridique. Or un changement d'argumentation juridique n'est pas un fait nouveau susceptible de fonder de nouvelles conclusions.</w:t>
      </w:r>
    </w:p>
    <w:p>
      <w:r>
        <w:t>A cela s'ajoute qu'aucune disposition légale n'impose à la Cour de transmettre la requête de preuve à futur déposée par l'appelante au Tribunal saisi de son action au fond.</w:t>
      </w:r>
    </w:p>
    <w:p>
      <w:r>
        <w:t>Une telle transmission serait d'autant plus incongrue que la présente cause est régie par la procédure sommaire, alors que l'action au fond déposée par l'appelante est régie par la procédure ordinaire. 5. L'appelante, qui succombe, sera condamnée aux frais et dépens d'appel (art. 106 al. 1 CPC).</w:t>
      </w:r>
    </w:p>
    <w:p>
      <w:r>
        <w:t>Les frais judiciaires seront fixés à 1'440 fr. (art. 26 et 37 RTFMC) et compensés avec l'avance versée, acquise à l'Etat de Genève (art. 111 al. 1 CPC).</w:t>
      </w:r>
    </w:p>
    <w:p>
      <w:r>
        <w:t>L'appelante sera en outre condamnée à verser à chacun des intimés 2'500 fr., débours et TVA compris, à titre de dépens (art. 84, 85, 88 et 90 RTFMC; 23, 25 et 26 LaCC). * * * * *</w:t>
      </w:r>
    </w:p>
    <w:p>
      <w:r>
        <w:t>- 7/7 -</w:t>
      </w:r>
    </w:p>
    <w:p>
      <w:r>
        <w:t>C/20700/2019 PAR CES MOTIFS, La Chambre civile : Préalablement : Ordonne la reprise de la procédure C/20700/2019-24 SP. A la forme : Déclare recevable l'appel interjeté par la CONFEDERATION SUISSE contre l'ordonnance OTPI/798/2019 rendue le 18 décembre 2020 par le Tribunal de première instance dans la cause C/20700/2019-24 SP. Au fond : Confirme cette ordonnance. Déboute les parties de toutes autres conclusions. Sur les frais : Met à charge de la CONFEDERATION SUISSE les frais judiciaires d'appel, fixés à 1'440 fr. et compensés avec l'avance versée, acquise à l'Etat de Genève. Condamne la CONFEDERATION SUISSE à verser 2'500 fr. de dépens d'appel à A______ SA et 2'500 fr. à B______. Siégeant : Monsieur Laurent RIEBEN, président; Madame Sylvie DROIN et Madame Fabienne GEISINGER-MARIETHOZ,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