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ACJC/1606/2012 vom 15. Mai 2018</w:t>
      </w:r>
    </w:p>
    <w:p>
      <w:r>
        <w:t>GE Cour de justice, 2018-05-15, FR</w:t>
      </w:r>
    </w:p>
    <w:p>
      <w:r>
        <w:rPr>
          <w:b/>
        </w:rPr>
        <w:t xml:space="preserve">Quelle: </w:t>
      </w:r>
      <w:r>
        <w:t>https://mcp.opencaselaw.ch/entscheid/ge_gerichte_ACJC_1606_2012</w:t>
      </w:r>
    </w:p>
    <w:p>
      <w:r>
        <w:t>FR: GE_GERICHTE ACJC/1606/2012 du 15 mai 2018</w:t>
      </w:r>
    </w:p>
    <w:p>
      <w:r>
        <w:t>IT: GE_GERICHTE ACJC/1606/2012 del 15 maggio 2018</w:t>
      </w:r>
    </w:p>
    <w:p>
      <w:pPr>
        <w:pStyle w:val="Heading2"/>
      </w:pPr>
      <w:r>
        <w:t>Erwägungen</w:t>
      </w:r>
    </w:p>
    <w:p>
      <w:r>
        <w:rPr>
          <w:b/>
        </w:rPr>
        <w:t>E. 1.1</w:t>
      </w:r>
    </w:p>
    <w:p>
      <w:r>
        <w:t>L'appel est dirigé contre une décision prise sur mesures provisionnelles (art. 308 al. 1 let. b CPC), dont la valeur litigieuse dépasse 10'000 fr., compte tenu du montant de la contribution d'entretien mensuelle contestée en première instance, soit 74'000 fr. ([{57'000 fr. + 10'500 fr. + 14'000 fr.} – {2'500 fr. x 3}]; art. 308 al. 2 et 92 al. 2 CPC). La voie de l'appel est dès lors ouverte. Déposé dans les dix jours à compter de la notification de la décision attaquée (art. 248 let. d et 314 al. 1 CPC), selon la forme prescrite par la loi (art. 130, 131 et 311 CPC), auprès de l'autorité compétente (art. 120 al. 1 let. a LOJ), l'appel est recevable.</w:t>
      </w:r>
    </w:p>
    <w:p>
      <w:r>
        <w:rPr>
          <w:b/>
        </w:rPr>
        <w:t>E. 1.2</w:t>
      </w:r>
    </w:p>
    <w:p>
      <w:r>
        <w:t>La Cour revoit la cause avec un plein pouvoir d'examen (art. 310 CPC) et établit les faits d'office (art. 272 CPC par renvoi de l'art. 276 al. 1 CPC). S'agissant du sort d'enfants mineurs, les maximes d'office et inquisitoires illimitée s'appliquent (art. 296 al. 3 CPC). Les mesures provisionnelles prises dans le cadre d'une action en divorce étant soumises à la procédure sommaire au sens propre (art. 248 let. d, 271 let. a et 276 al. 1 CPC; HOHL, Procédure civile, Tome II, 2ème éd., 2010, n. 1957 et 1958 p. 359), la cognition du juge est limitée à la simple vraisemblance des faits et à un examen sommaire du droit, l'exigence de célérité étant privilégiée par rapport à celle de sécurité (ATF 127 III 474 consid. 2b/bb, JdT 2002 I 352; arrêts du</w:t>
      </w:r>
    </w:p>
    <w:p>
      <w:r>
        <w:t>- 11/22 -</w:t>
      </w:r>
    </w:p>
    <w:p>
      <w:r>
        <w:t>C/26211/2013 Tribunal fédéral 5A_937/2014 du 26 mai 2015 consid. 6.2.2; 5A_863/2014 du 16 mars 2015 consid. 1.4; HOHL, op. cit, n. 1901 p. 349).</w:t>
      </w:r>
    </w:p>
    <w:p>
      <w:r>
        <w:rPr>
          <w:b/>
        </w:rPr>
        <w:t>E. 2</w:t>
      </w:r>
    </w:p>
    <w:p>
      <w:r>
        <w:t>L'appelant et l'intimée ont chacun déposé des pièces nouvelles à l'appui de leurs écritures.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novas (cf. ACJC/544/2017 consid. 2; ACJC/345/2016 consid. 3.1; ACJC/361/2013 consid. 1.3). Les faits notoires ne doivent être ni allégués ni prouvés. Pour être notoire, un renseignement ne doit pas être constamment présent à l'esprit, il suffit qu'il puisse être contrôlé par des publications accessibles à chacun (art. 151 CPC; ATF 143 III 404 consid. 5.3.3; 134 III 224 consid. 5).</w:t>
      </w:r>
    </w:p>
    <w:p>
      <w:r>
        <w:rPr>
          <w:b/>
        </w:rPr>
        <w:t>E. 2.2</w:t>
      </w:r>
    </w:p>
    <w:p>
      <w:r>
        <w:t>En l'occurrence, les pièces 303 et 304 produites par l'intimée, qui consistent en des extraits tirés des sites internet de la commune de P______ et de F______ sont recevables, puisqu'il s'agit de faits notoires librement accessibles au public. Les pièces 305a et 306 sont également recevables, puisqu'elles ont trait à la situation personnelle et financière des parties, faits susceptibles d'avoir une influence sur la contribution d'entretien due à l'enfant mineure. Il en va de même des pièces 2, 3 et</w:t>
      </w:r>
    </w:p>
    <w:p>
      <w:r>
        <w:rPr>
          <w:b/>
        </w:rPr>
        <w:t>E. 4</w:t>
      </w:r>
    </w:p>
    <w:p>
      <w:r>
        <w:t>L'appel sera donc très partiellement admis et l'ordonnance entreprise modifiée dans le sens des considérants qui précèdent.</w:t>
      </w:r>
    </w:p>
    <w:p>
      <w:r>
        <w:t>Si l'instance d'appel statue à nouveau, elle se prononce sur les frais de la première instance (art. 318 al. 3 CPC).</w:t>
      </w:r>
    </w:p>
    <w:p>
      <w:r>
        <w:t>En l'occurrence, la fixation et la répartition des frais et dépens de première instance n'est pas remise en cause et est au surplus conforme aux principes juridiques applicables. Le ch. 4 de l'ordonnance entreprise sera donc confirmé.</w:t>
      </w:r>
    </w:p>
    <w:p>
      <w:r>
        <w:t>- 20/22 -</w:t>
      </w:r>
    </w:p>
    <w:p>
      <w:r>
        <w:t>C/26211/2013</w:t>
      </w:r>
    </w:p>
    <w:p>
      <w:r>
        <w:t>Les frais judiciaires d'appel seront fixés à 4'000 fr. (art. 31 et 37 RTFMC) et mis à la charge des parties pour moitié chacune, compte tenu de la nature familiale du litige (art. 95 et 107 al. 1 let. c CPC). Ils seront partiellement compensés avec l'avance de frais de 2'500 fr. versée par l'appelant (art. 111 al. 1 CPC), qui demeure acquise à l'Etat de Genève. L'intimée sera, en conséquence, condamnée à verser un montant de 1'500 fr. à l'Etat de Genève, à titre de solde de frais (art. 111 al. 1 CPC). Elle sera en outre condamnée à verser 500 fr. à l'appelant.</w:t>
      </w:r>
    </w:p>
    <w:p>
      <w:r>
        <w:t>Pour le même motif, chaque partie supportera ses propres dépens d'appel (art. 107 al. 1 let. c CPC).</w:t>
      </w:r>
    </w:p>
    <w:p>
      <w:r>
        <w:rPr>
          <w:b/>
        </w:rPr>
        <w:t>E. 5</w:t>
      </w:r>
    </w:p>
    <w:p>
      <w:r>
        <w:t>L'arrêt de la Cour, statuant sur mesures provisionnelles dans la procédure en divorce, est susceptible d'un recours en matière civile, les moyens étant limités en application de l'art. 98 LTF.</w:t>
      </w:r>
    </w:p>
    <w:p>
      <w:r>
        <w:t>Vu les conclusions pécuniaires restées litigieuses devant la cour, la valeur litigieuse au sens de la LTF est supérieure à 30'000 fr. (art. 51 al. 1 let. a et al. 4 LTF et 74 al. 1 let. b LTF). * * * * *</w:t>
      </w:r>
    </w:p>
    <w:p>
      <w:r>
        <w:t>- 21/22 -</w:t>
      </w:r>
    </w:p>
    <w:p>
      <w:r>
        <w:t>C/26211/2013 PAR CES MOTIFS, La Chambre civile : A la forme : Déclare recevable l'appel interjeté le 23 novembre 2017 par A______ contre l'ordonnance OTPI/601/2017 rendue le 8 novembre 2017 par le Tribunal de première instance dans la cause C/26211/2013-21. Au fond : Modifie le ch. 1 du dispositif de l'ordonnance entreprise en ce sens que A______ est condamné à verser en mains de B______, par mois et d'avance et à dater du 1er septembre 2017, un montant de 40'000 fr. à titre de contribution à son entretien. Dit que le ch. 1 du dispositif de l'ordonnance entreprise reste inchangé pour le surplus. Confirme l'ordonnance entreprise pour le surplus. Déboute les parties de toutes autres conclusions. Sur les frais : Arrête les frais judiciaires d'appel à 4'000 fr., les met à la charge des parties, à concurrence de la moitié chacune, et les compense à hauteur de 2'500 fr., avec l'avance de frais fournie par A______, qui demeure acquise à l'Etat de Genève. Condamne B______ à verser la somme de 1'500 fr. à l'Etat de Genève, soit pour lui les Services financiers du Pouvoir judiciaire. Condamne B______ à verser la somme de 500 fr. à A______. Dit que chaque partie supporte ses propres dépens d'appel. Siégeant : Madame Jocelyne DEVILLE-CHAVANNE, présidente; Mesdames Nathalie LANDRY-BARTHE et Eleanor McGREGOR, juges; Madame Camille LESTEVEN, greffière. La présidente : Jocelyne DEVILLE-CHAVANNE</w:t>
      </w:r>
    </w:p>
    <w:p>
      <w:r>
        <w:t>La greffière : Camille LESTEVEN</w:t>
      </w:r>
    </w:p>
    <w:p>
      <w:r>
        <w:t>- 22/22 -</w:t>
      </w:r>
    </w:p>
    <w:p>
      <w:r>
        <w:t>C/26211/2013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