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ACJC/1602/2020 vom 16. November 2020</w:t>
      </w:r>
    </w:p>
    <w:p>
      <w:r>
        <w:t>GE Cour de justice, 2020-11-16, FR</w:t>
      </w:r>
    </w:p>
    <w:p>
      <w:r>
        <w:rPr>
          <w:b/>
        </w:rPr>
        <w:t xml:space="preserve">Quelle: </w:t>
      </w:r>
      <w:r>
        <w:t>https://mcp.opencaselaw.ch/entscheid/ge_gerichte_ACJC_1602_2020</w:t>
      </w:r>
    </w:p>
    <w:p>
      <w:r>
        <w:t>FR: GE_GERICHTE ACJC/1602/2020 du 16 novembre 2020</w:t>
      </w:r>
    </w:p>
    <w:p>
      <w:r>
        <w:t>IT: GE_GERICHTE ACJC/1602/2020 del 16 novembre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1.3</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Les deux pièces nouvelles de la recourante (pièces 8bis et 9bis), ainsi que les faits qu'elles visent, ne sont donc pas recevables.</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t>- 5/12 -</w:t>
      </w:r>
    </w:p>
    <w:p>
      <w:r>
        <w:t>C/20798/2020</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entendue (ATF 107 III 29 consid. 2 et 3; arrêt du Tribunal fédéral 5A_344/2010 du 8 juin 2010 consid. 5, in RSPC 2010 p. 400, et 5A_279/2010 du 24 juin 2010 consid. 4).</w:t>
      </w:r>
    </w:p>
    <w:p>
      <w:r>
        <w:rPr>
          <w:b/>
        </w:rPr>
        <w:t>E. 3</w:t>
      </w:r>
    </w:p>
    <w:p>
      <w:r>
        <w:t>Le recourant fait grief au Tribunal d'avoir considéré qu'il n'avait rendu vraisemblables ni l'existence de biens appartenant à B______, ni celle d'un cas de séquestre. Il lui reproche également d'avoir évoqué l'irrecevabilité de la requête de séquestre.</w:t>
      </w:r>
    </w:p>
    <w:p>
      <w:r>
        <w:rPr>
          <w:b/>
        </w:rPr>
        <w:t>E. 3.1.1</w:t>
      </w:r>
    </w:p>
    <w:p>
      <w:r>
        <w:t>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L'autorité cantonale de recours examine avec une pleine cognition la violation du droit fédéral (art. 320 let. a CPC; arrêt du Tribunal fédéral 5A_303/2011 du 27 septembre 2011 consid. 2).</w:t>
      </w:r>
    </w:p>
    <w:p>
      <w:r>
        <w:t>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3.1.2</w:t>
      </w:r>
    </w:p>
    <w:p>
      <w:r>
        <w:t>Selon l'art. 272 LP, le séquestre est autorisé par le juge du for de la poursuite ou par le juge du lieu où se trouvent les biens, à condition que le créancier rende</w:t>
      </w:r>
    </w:p>
    <w:p>
      <w:r>
        <w:t>- 6/12 -</w:t>
      </w:r>
    </w:p>
    <w:p>
      <w:r>
        <w:t>C/20798/2020 vraisemblable que sa créance existe (ch. 1), qu'on est en présence d'un cas de séquestre (ch. 2) et qu'il existe des biens appartenant au débiteur (ch. 3). A teneur de l'art. 271 al. 1 ch. 2 LP, le créancier d'une dette échue peut requérir le séquestre des biens du débiteur qui se trouvent en Suisse lorsque ce dernier, dans l'intention de se soustraire à ses obligations, fait disparaître ses biens, s'enfuit ou prépare sa fuite. 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 Selon l'art. 271 al. 1 ch. 4 LP, le créancier d'une dette échue peut requérir le séquestre des biens du débiteur qui se trouvent en Suisse également lorsque ce dernier n'habite pas en Suisse et qu'il n'y a pas d'autre cas de séquestre, pour autant que la créance ait un lien suffisant avec la Suisse ou qu'elle se fonde sur une reconnaissance de dette au sens de l'art. 82 al. 1 LP. Le domicile ou le siège en Suisse du créancier constitue un lien suffisant de la créance avec la Suisse (arrêts du Tribunal fédéral 5A_832/2015 du 19 février 2016 consid. 3.1; 5A_501/2010 du 20 janvier 2011 consid. 2.3.2). Le créancier doit désigner le cas de séquestre sur lequel il se fonde, mais il est en droit de désigner un cas de séquestre à titre principal et un autre à titre subsidiaire (STOFFEL/CHABLOZ, op. cit., n. 9 ad art. 272 LP).</w:t>
      </w:r>
    </w:p>
    <w:p>
      <w:r>
        <w:rPr>
          <w:b/>
        </w:rPr>
        <w:t>E. 3.1.3</w:t>
      </w:r>
    </w:p>
    <w:p>
      <w:r>
        <w:t>Le requérant doit rendre vraisemblable, à défaut d'établir, l'existence et le montant de la prétention qu'il allègue et son exigibilité si la définition du cas de séquestre exige qu'elle soit exigible (art. 271 al. 1 ch. 3 à 5 LP; cf. art. 271 al. 2 LP). Si le requérant n'est pas en mesure de produire un titre à la mainlevée provisoire ou à la mainlevée définitive, il doit rendre vraisemblable sa prétention, pratiquement produire une pièce ou un ensemble de pièces qui permet au juge du séquestre d'acquérir au stade de la simple vraisemblance la conviction que la prétention existe pour le montant énoncé et, le cas échéant, qu'elle est exigible, même si la pièce produite, ou le document qui a un caractère décisif lorsque la vraisemblance résulte du rapprochement de plusieurs pièces, n'est pas signé par l'intimé ou son représentant. Il peut s'agir par exemple de la note d'honoraires d'un avocat (GILLIERON, op. cit., n. 27 et 29 ad art. 272 LP).</w:t>
      </w:r>
    </w:p>
    <w:p>
      <w:r>
        <w:t>- 7/12 -</w:t>
      </w:r>
    </w:p>
    <w:p>
      <w:r>
        <w:t>C/20798/2020</w:t>
      </w:r>
    </w:p>
    <w:p>
      <w:r>
        <w:rPr>
          <w:b/>
        </w:rPr>
        <w:t>E. 3.1.4</w:t>
      </w:r>
    </w:p>
    <w:p>
      <w:r>
        <w:t>Lorsqu'il entend obtenir le séquestre d'une créance, le requérant doit désigner celle-ci par l'indication du nom et de l'adresse du créancier (qui est le débiteur séquestré) ou du tiers débiteur (souvent une banque) et par des renseignements plausibles sur leurs relations (STOFFEL/CHABLOZ, op. cit., n. 24 ad art. 272 LP). Par exemple, lorsqu'il s'agit de séquestrer une créance de salaire, le fait à rendre vraisemblable n'est pas le montant du salaire ni les déductions à opérer sur celui- ci, mais l'exercice ou non d'une activité lucrative (arrêt du Tribunal fédéral 5A_870/2010 du 15 mars 2011 consid. 5.4, rendu dans le cadre d'une opposition à séquestre).</w:t>
      </w:r>
    </w:p>
    <w:p>
      <w:r>
        <w:rPr>
          <w:b/>
        </w:rPr>
        <w:t>E. 3.1.5</w:t>
      </w:r>
    </w:p>
    <w:p>
      <w:r>
        <w:t>Le tribunal n'entre en matière que sur les demandes et les requêtes qui satisfont aux conditions de recevabilité de l'action, notamment que si le litige ne fait pas l'objet d'une décision entrée en force (art. 59 al. 1 et 2 let. e CPC). Le tribunal examine d'office si les conditions de recevabilité sont remplies (art. 60 LPC). La décision en matière de séquestre n'entre pas en force de chose jugée matérielle, mais constitue une mesure provisionnelle pour la durée de la procédure de poursuite. Il est admis qu'après le refus ou la levée d'un séquestre, l'on peut déposer une nouvelle requête de séquestre (cf. déjà ATF 60 I 255 consid. 2), en présentant une motivation modifiée, complétée par des faits et preuves nouveaux. L'exception de chose jugée ne peut être opposée à une nouvelle requête de séquestre que si elle repose exactement sur les mêmes faits que la précédente, qui a conduit au rejet ou à la levée du séquestre (ATF 138 III 382 consid. 3.2.2 et 3.2.3 - JdT 2013 II 341 p. 343).</w:t>
      </w:r>
    </w:p>
    <w:p>
      <w:r>
        <w:rPr>
          <w:b/>
        </w:rPr>
        <w:t>E. 3.2</w:t>
      </w:r>
    </w:p>
    <w:p>
      <w:r>
        <w:t>En l'espèce, même si la requête de séquestre qui a donné lieu à l'ordonnance du 9 octobre 2020 n'a pas été valablement produite, il résulte de cette décision que la requête faisant l'objet de la présente procédure ne repose pas sur un état de fait totalement identique à celui de la précédente requête, puisque la dette résultant de la note d'honoraires du 15 septembre 2020 est maintenant échue, ce qui n'était pas le cas à l'époque. Ainsi, le recourant ne peut se voir opposer l'exception de chose jugée. Cela étant, ladite note d'honoraires suffit à rendre vraisemblable l'existence de la créance du séquestrant, en dépit de la contestation exprimée, de manière peu compréhensible, le 8 octobre 2020 par B______. Il est rappelé à toutes fins utiles, d'une part, que lorsque les services sont fournis à titre professionnel, le mandat est onéreux en vertu de l'usage (art. 394 al. 3 CO) et, d'autre part, que tant la convention selon laquelle l'avocat n'a droit à des honoraires qu'en cas de résultat, que celle prévoyant que les honoraires consisteront en une quote-part du résultat (pactum de quota litis) sont prohibées en Suisse (ATF 135 III 259 consid. 2.1 et 2.3).</w:t>
      </w:r>
    </w:p>
    <w:p>
      <w:r>
        <w:t>- 8/12 -</w:t>
      </w:r>
    </w:p>
    <w:p>
      <w:r>
        <w:t>C/20798/2020 Le montant de la créance n'est toutefois rendu vraisemblable qu'à concurrence de 5'000 fr., compte tenu du message électronique que le recourant a adressé le 15 septembre 2020 à B______. Par ailleurs, dans la mesure où la facture était payable le 15 octobre 2020 au plus tard, l'intérêt moratoire sur ledit montant ne peut courir qu'à partir du 16 octobre 2020. La convention du 4 mars 2020 et la note d'honoraires du 15 septembre 2020 indiquent une adresse de la débitrice en France et le recourant est domicilié en Suisse. La présence du cas de séquestre de l'art. 271 al. 1 ch. 4 LP, invoqué par le recourant à titre subsidiaire, est donc rendue vraisemblable. Il est ainsi superflu d'examiner si les conditions de l'art. 271 al. 1 ch. 2 LP sont réalisées. Enfin, en signant, en septembre 2020, la convention du 4 mars 2020, les C______ ont pris l'engagement de verser à B______ la somme de 30'000 fr. Cette convention suffit à rendre vraisemblable l'existence d'une créance de celle-ci à l'encontre des C______, soit l'existence, auprès de ceux-ci, tiers débiteurs, de biens appartenant à B______. La question de savoir si tout ou partie du montant de 30'000 fr. a déjà été versé à la précitée par les C______ n'est pas déterminante au stade du prononcé du séquestre. Les griefs du recourant étant fondés, le recours sera admis et l'ordonnance attaquée sera annulée. Dans la mesure où la cause est en état d'être jugée (art. 327 al. 3 let. b CPC), le séquestre de la créance de 30'000 fr. détenue par B______ à l'encontre des C______ sera ordonné à concurrence de 5'000 fr. plus intérêts moratoires à 5% dès le 16 octobre 2020. En l'état, il ne se justifie pas de condamner le recourant à verser des sûretés selon l'art. 273 al. 1 in fine LP.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4</w:t>
      </w:r>
    </w:p>
    <w:p>
      <w:r>
        <w:t>Caducité du séquestre (art. 280 LP) Les effets du séquestre cessent lorsque le créancier : 1. laisse écouler les délais qui lui sont assignés à l'article 279; 2. retire ou laisse périmer son action ou sa poursuite; 3. voit son action définitivement rejetée.</w:t>
      </w:r>
    </w:p>
    <w:p>
      <w:r>
        <w:rPr>
          <w:b/>
        </w:rPr>
        <w:t>E. 4.1</w:t>
      </w:r>
    </w:p>
    <w:p>
      <w:r>
        <w:t>Lorsque l'instance de recours rend une nouvelle décision, elle se prononce sur les frais de première instance (art. 318 al. 3 CPC par analogie; JEANDIN, Commentaire romand, Code de de procédure civile, 2ème éd., 2019, n. 9 ad art. 327 CPC).</w:t>
      </w:r>
    </w:p>
    <w:p>
      <w:r>
        <w:t>Le montant des frais judiciaires de première instance sera arrêté à 300 fr., en conformité avec l'art. 48 de l'Ordonnance sur les émoluments perçus en application de la loi fédérale sur la poursuite pour dettes et la faillite (OELP).</w:t>
      </w:r>
    </w:p>
    <w:p>
      <w:r>
        <w:t>- 9/12 -</w:t>
      </w:r>
    </w:p>
    <w:p>
      <w:r>
        <w:t>C/20798/2020</w:t>
      </w:r>
    </w:p>
    <w:p>
      <w:r>
        <w:t>Compte tenu du caractère unilatéral de la procédure d'autorisation de séquestre, le débiteur ne peut être assimilé à une partie qui succombe au sens de l'art. 106 al. 1 CPC (arrêt du Tribunal fédéral 5A_508/2012 du 28 août 2012 consid. 3.1 et 5A_344/2010 du 8 juin 2010 consid. 5). Cela étant, dans la mesure où le recourant obtient gain de cause sur les conclusions de sa requête de séquestre, il serait inéquitable de lui faire supporter les frais judiciaires de première instance. Ces frais seront par conséquent mis à la charge de la débitrice séquestrée en application de l'art. 107 al. 1 let. a et f CPC. Ils seront compensés avec l'avance de frais opérée en première instance par le recourant, qui reste acquise à l'Etat de Genève (art. 111 al. 1 CPC et art. 68 al. 1 LP). B______ sera par conséquent condamnée à verser au recourant la somme de 300 fr. à ce titre.</w:t>
      </w:r>
    </w:p>
    <w:p>
      <w:r>
        <w:t>Le recourant, qui agissait en personne devant le Tribunal, n'a pas allégué que les démarches effectuées justifiaient une indemnité équitable au sens de l'art. 95 al. 3 CPC. Il ne lui sera donc pas alloué de dépens de première instance.</w:t>
      </w:r>
    </w:p>
    <w:p>
      <w:r>
        <w:rPr>
          <w:b/>
        </w:rPr>
        <w:t>E. 4.2</w:t>
      </w:r>
    </w:p>
    <w:p>
      <w:r>
        <w:t>Les frais judiciaires du recours seront arrêtés à 450 fr. (art. 48 et 61 OELP). La présente procédure de recours ayant été rendue nécessaire par la décision erronée en droit de l'instance inférieure, ces frais seront laissés à la charge de l'Etat de Genève en application de l'art. 107 al. 2 CPC (TAPPY, Commentaire romand, Code de procédure civile, 2019, n. 37 ad art. 107 CPC). L'avance de frais de 450 fr. fournie par le recourant lui sera restituée.</w:t>
      </w:r>
    </w:p>
    <w:p>
      <w:r>
        <w:t>Il ne sera pas alloué de dépens, l'art. 107 al. 2 CPC ne permettant pas de mettre des dépens à la charge de l'Etat de Genève. * * * * *</w:t>
      </w:r>
    </w:p>
    <w:p>
      <w:r>
        <w:t>- 10/12 -</w:t>
      </w:r>
    </w:p>
    <w:p>
      <w:r>
        <w:t>C/20798/2020 PAR CES MOTIFS, La Chambre civile : A la forme : Déclare recevable le recours interjeté par A______ contre l'ordonnance SQ/1300/2020 rendue le 21 octobre 2020 par le Tribunal de première instance dans la cause C/20798/2020-25 SQP. Au fond : Annule l'ordonnance attaquée et, statuant à nouveau : Ordonne le séquestre au profit de A______, domicilié route 2______ [no.] ______, [code postal] F______ [GE], à concurrence de 5'000 fr. plus intérêts à 5% dès le 16 octobre 2020, de la créance de 30'000 fr. détenue par B______, domiciliée avenue 3______ [no.] ______, [code postal] D______, France, à l'encontre des C______, Direction des affaires juridiques, boulevard 4______ [no.] ______, 1211 Genève ______. Arrête les frais judiciaires de première instance à 300 fr., les met à la charge de B______ et les compense avec l'avance de frais, qui demeure acquise à l'Etat de Genève. Condamne B______ à verser à A______ 300 fr. à titre de frais judiciaires de première instance. Dit qu'il n'est pas alloué de dépens de première instance. Sur les frais : Arrête les frais judiciaires du recours à 450 fr. et les laisse à la charge de l'Etat de Genève. Invite les Services financiers du Pouvoir judiciaire à restituer à A______ la somme de 450 fr. Dit qu'il n'est pas alloué de dépens de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- 11/12 -</w:t>
      </w:r>
    </w:p>
    <w:p>
      <w:r>
        <w:t>C/20798/2020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w:t>
      </w:r>
    </w:p>
    <w:p>
      <w:r>
        <w:t>- 12/12 -</w:t>
      </w:r>
    </w:p>
    <w:p>
      <w:r>
        <w:t>C/20798/2020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