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ACJC/15/2021 vom 11. Januar 2021</w:t>
      </w:r>
    </w:p>
    <w:p>
      <w:r>
        <w:t>GE Cour de justice, 2021-01-11, FR</w:t>
      </w:r>
    </w:p>
    <w:p>
      <w:r>
        <w:rPr>
          <w:b/>
        </w:rPr>
        <w:t xml:space="preserve">Quelle: </w:t>
      </w:r>
      <w:r>
        <w:t>https://mcp.opencaselaw.ch/entscheid/ge_gerichte_ACJC_15_2021</w:t>
      </w:r>
    </w:p>
    <w:p>
      <w:r>
        <w:t>FR: GE_GERICHTE ACJC/15/2021 du 11 janvier 2021</w:t>
      </w:r>
    </w:p>
    <w:p>
      <w:r>
        <w:t>IT: GE_GERICHTE ACJC/15/2021 del 11 gennaio 2021</w:t>
      </w:r>
    </w:p>
    <w:p>
      <w:pPr>
        <w:pStyle w:val="Heading2"/>
      </w:pPr>
      <w:r>
        <w:t>Erwägungen</w:t>
      </w:r>
    </w:p>
    <w:p>
      <w:r>
        <w:rPr>
          <w:b/>
        </w:rPr>
        <w:t>E. 1.1</w:t>
      </w:r>
    </w:p>
    <w:p>
      <w:r>
        <w:t>La Chambre des baux et loyers connaît des appels et des recours dirigés contre les jugements du Tribunal des baux et loyers (art. 122 let. a LOJ). Selon l'art. 121 al. 2 LOJ, elle siège dans la composition de trois juges, sans assesseurs, dans les causes fondées sur l'art. 257d CO.</w:t>
      </w:r>
    </w:p>
    <w:p>
      <w:r>
        <w:rPr>
          <w:b/>
        </w:rPr>
        <w:t>E. 1.2</w:t>
      </w:r>
    </w:p>
    <w:p>
      <w:r>
        <w:t>La voie du recours est ouverte contre les décisions du tribunal de l'exécution (art. 309 let. a et 319 let. a CPC). En procédure sommaire, le recours, écrit et motivé, doit être introduit auprès de l'instance de recours dans les dix jours à compter de la notification de la décision motivée (art. 321 al. 1 et 2 CPC).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2</w:t>
      </w:r>
    </w:p>
    <w:p>
      <w:r>
        <w:t>La recourante se plaint d'une violation de son droit d'être entendue, le Tribunal n'ayant pas motivé l'absence d'octroi d'un sursis, ainsi que du principe de proportionnalité.</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w:t>
      </w:r>
    </w:p>
    <w:p>
      <w:r>
        <w:t>- 5/7 -</w:t>
      </w:r>
    </w:p>
    <w:p>
      <w:r>
        <w:t>C/19289/2020 d'un logement, après audition des représentants du département chargé du logement et des représentants des services sociaux ainsi que des parties. La protection de l'art. 30 al. 4 LaCC ne s'applique toutefois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(ACJC/452/2020 du 16 mars 2020 consid. 2.3.3; ACJC/392/2019 du 18 mars 2019 consid. 2.2; ACJC/937/2018 du 12 juillet 2018 consid. 4.1).</w:t>
      </w:r>
    </w:p>
    <w:p>
      <w:r>
        <w:rPr>
          <w:b/>
        </w:rPr>
        <w:t>E. 2.2</w:t>
      </w:r>
    </w:p>
    <w:p>
      <w:r>
        <w:t>La jurisprudence a déduit du droit d'être entendu de l'art. 29 al. 2 Cst. l'obligation pour l'autorité de motiver sa décision afin que l'intéressé puisse se rendre compte de la portée de celle-ci et l'attaquer en connaissance de cause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143 III 65 consid. 5.2; 142 II 154 consid. 4.2; 136 I 229 consid. 5.2). L'autorité n'a pas l'obligation d'exposer et de discuter tous les faits mais peut se limiter à ceux qui, sans arbitraire, apparaissent pertinents (ATF 124 II 146 consid. 2). La motivation peut aussi être implicite et résulter des différents considérants de la décision (arrêts du Tribunal fédéral 5A_36/2014 consid. 3.1; 1B_120/2014 du 20 juin 2014 consid. 2.1; 2C_23/2009 du 25 mai 2009 consid. 3.1, in RDAF 2009 II p. 434).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3ème éd., 2017, n. 7 ad art. 256 CPC).</w:t>
      </w:r>
    </w:p>
    <w:p>
      <w:r>
        <w:rPr>
          <w:b/>
        </w:rPr>
        <w:t>E. 2.3</w:t>
      </w:r>
    </w:p>
    <w:p>
      <w:r>
        <w:t>En l'espèce, aucun motif humanitaire au sens de l'art. 30 LaCC n'entre en considération, puisque les locaux litigieux sont des locaux commerciaux. Certes, le Tribunal n'a pas explicité les raisons qui l'ont conduit à considérer que l'évacuation immédiate de la recourante devait être prononcée. Il a toutefois, implicitement retenu, s'agissant d'une procédure sommaire, qu'aucun motif justifiant d'accorder un sursis à la recourante n'était réalisé. La recourante l'a d'ailleurs bien compris, dès lors qu'elle a été en mesure de critiquer la solution retenue par les premiers juges. Par conséquent, aucune violation du droit d'être entendue de la recourante n'est réalisée.</w:t>
      </w:r>
    </w:p>
    <w:p>
      <w:r>
        <w:t>- 6/7 -</w:t>
      </w:r>
    </w:p>
    <w:p>
      <w:r>
        <w:t>C/19289/2020 Même à considérer le principe de proportionnalité et l'impossibilité alléguée pour la recourante d'exercer son activité, il ne se justifie pas de surseoir à l'exécution de son évacuation. En effet, la recourante occupe les objets loués sans droit depuis fin septembre. Du fait de la présente procédure de recours, elle en outre bénéficié d'un délai supplémentaire d'environ deux mois, correspondant finalement au bref sursis préconisé par la jurisprudence.</w:t>
      </w:r>
    </w:p>
    <w:p>
      <w:r>
        <w:t>La recourante a allégué devoir disposer de temps en vue d'obtenir des aides étatiques ou trouver un repreneur pour son cabinet. Elle n'a toutefois produit aucun titre rendant vraisemblable que de telles démarches auraient été effectuées. Par ailleurs, la recourante perd de vue qu'elle ne peut plus remettre son cabinet, impliquant un transfert de bail du fait de la fin des rapports contractuels avec l'intimée. De plus, la recourante n'a ni allégué, ni démontré, avoir entrepris des démarches en vue de trouver de nouveaux locaux. Enfin, la recourante ne règle plus le loyer, respectivement les indemnités pour occupation illicite, des biens loués depuis mars 2020, soit depuis neuf mois, représentant un arriéré de l'ordre de 36'000 fr. et elle n'a pas fait valoir avoir repris le règlement de ceux-ci, de sorte que le montant de la dette augmente chaque mois. Elle n'a pas non plus fait de proposition, en vue de résorber la dette, alors qu'elle dit avoir gagné, durant de nombreuses années, près d'un demi-million de francs nets l'an, soit des revenus très élevés. Le refus d'octroi d'un sursis à l'exécution de l'évacuation ne paraît ainsi pas disproportionné.</w:t>
      </w:r>
    </w:p>
    <w:p>
      <w:r>
        <w:rPr>
          <w:b/>
        </w:rPr>
        <w:t>E. 2.4</w:t>
      </w:r>
    </w:p>
    <w:p>
      <w:r>
        <w:t>Le recours sera rejeté.</w:t>
      </w:r>
    </w:p>
    <w:p>
      <w:r>
        <w:rPr>
          <w:b/>
        </w:rPr>
        <w:t>E. 3</w:t>
      </w:r>
    </w:p>
    <w:p>
      <w:r>
        <w:t>A teneur de l'art. 22 al. 1 LaCC, il n'est pas prélevé de frais dans les causes soumises à la juridiction des baux et loyers (ATF 139 III 182 consid. 2.6). * * * * *</w:t>
      </w:r>
    </w:p>
    <w:p>
      <w:r>
        <w:t>- 7/7 -</w:t>
      </w:r>
    </w:p>
    <w:p>
      <w:r>
        <w:t>C/19289/2020 PAR CES MOTIFS, La Chambre des baux et loyers : A la forme : Déclare recevable le recours interjeté le 18 novembre 2020 par A______ contre les chiffres 3 et 4 du dispositif du jugement JTBL/811/2020 rendu le 5 novembre 2020 par le Tribunal des baux et loyers dans la cause C/19289/2020-8-SE. Au fond : Le rejette.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