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ACJC/159/2021 vom 30. August 2018</w:t>
      </w:r>
    </w:p>
    <w:p>
      <w:r>
        <w:t>GE Cour de justice, 2018-08-30, FR</w:t>
      </w:r>
    </w:p>
    <w:p>
      <w:r>
        <w:rPr>
          <w:b/>
        </w:rPr>
        <w:t xml:space="preserve">Quelle: </w:t>
      </w:r>
      <w:r>
        <w:t>https://mcp.opencaselaw.ch/entscheid/ge_gerichte_ACJC_159_2021</w:t>
      </w:r>
    </w:p>
    <w:p>
      <w:r>
        <w:t>FR: GE_GERICHTE ACJC/159/2021 du 30 août 2018</w:t>
      </w:r>
    </w:p>
    <w:p>
      <w:r>
        <w:t>IT: GE_GERICHTE ACJC/159/2021 del 30 agosto 2018</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consid. 2 = RSPC 2009 p. 193). 1.2.1 Il n'y a pas lieu de revenir sur la recevabilité du recours, qui a été admise par la Cour et qui n'a pas été critiquée devant le Tribunal fédéral. 1.2.2 Le Tribunal fédéral a annulé l'arrêt de la Cour du 29 novembre 2019, au motif que celle-ci n'avait pas déterminé si la nullité de la poursuite pouvait être indubitablement constatée ou niée. La Cour traitera donc préalablement ce point, puis se penchera à nouveau sur les autres griefs du recourant dirigés contre le jugement du 10 septembre 2019. Il est rappelé que les allégations et preuves nouvelles sont irrecevables dans le cadre d'un recours (art. 326 al. 1 CPC). La Cour examinera donc la cause sur la base du dossier de première instance.</w:t>
      </w:r>
    </w:p>
    <w:p>
      <w:r>
        <w:rPr>
          <w:b/>
        </w:rPr>
        <w:t>E. 2</w:t>
      </w:r>
    </w:p>
    <w:p>
      <w:r>
        <w:t>Le recourant soutient que le premier juge aurait dû constater la nullité de la poursuite, laquelle contrevenait à l'interdiction de l'anatocisme et constituait ainsi "un acte juridique illicite".</w:t>
      </w:r>
    </w:p>
    <w:p>
      <w:r>
        <w:rPr>
          <w:b/>
        </w:rPr>
        <w:t>E. 2.1</w:t>
      </w:r>
    </w:p>
    <w:p>
      <w:r>
        <w:t>Si le juge de la mainlevée ne peut pas relever, ni retenir un vice de la procédure de poursuite dont l'intéressé doit se prévaloir par la voie de la plainte à l'autorité de surveillance, il peut cependant examiner d'office si la poursuite est à l'évidence périmée ou nulle (ATF 139 III 444 consid. 4.1.1; 140 III 175 consid. 4.3; arrêts du Tribunal fédéral 5A_81/2020 du 13 novembre 2020, concernant la présente cause, consid. 3.2; 5A_190/2019 du 4 février 2020 consid. 2.4; 5A_261/2018 du 4 février 2019 consid. 3.3.3 et les références).</w:t>
      </w:r>
    </w:p>
    <w:p>
      <w:r>
        <w:t>- 6/10 -</w:t>
      </w:r>
    </w:p>
    <w:p>
      <w:r>
        <w:t>C/8447/2019</w:t>
      </w:r>
    </w:p>
    <w:p>
      <w:r>
        <w:t>Sont considérées comme manifestement nulles les poursuites introduites ou continuées par ou contre une personne clairement inexistante; il en va de même lorsque le montant de la créance figurant sur le commandement de payer est indéterminée ou libellée en monnaie étrangère; une poursuite purement chicanière peut également être considérée comme manifestement nulle (ABBET, La mainlevée de l'opposition, 2017, n° 76 ad art. 84 LP et les références citées). La poursuite peut également être considérée comme à l'évidence nulle lorsqu'elle viole une disposition impérative édictée dans l'intérêt public, pour autant que la question n'ait pas déjà fait l'objet d'une décision de l'autorité de surveillance (GILLIERON, Commentaire de la loi fédérale sur la poursuite pour dettes et la faillite, 1999, n° 80 ad art. 82 LP et les références citées).</w:t>
      </w:r>
    </w:p>
    <w:p>
      <w:r>
        <w:t>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 JdT 1989 II 120, pp. 120-121; arrêt du Tribunal fédéral 5A_1020/2018 du 11 février 2019 consid. 5.1). En particulier, l'opinion selon laquelle une poursuite ne pourrait être introduite que si le créancier a préalablement rendu l'existence de sa créance vraisemblable a été expressément rejetée par le Tribunal fédéral (arrêt du Tribunal fédéral 5A_1020/2018 précité consid. 5.2 et les références citées).</w:t>
      </w:r>
    </w:p>
    <w:p>
      <w:r>
        <w:rPr>
          <w:b/>
        </w:rPr>
        <w:t>E. 2.2</w:t>
      </w:r>
    </w:p>
    <w:p>
      <w:r>
        <w:t>En l'espèce, aucun élément du dossier ne permet de retenir l'existence d'un motif de nullité de la poursuite au sens des considérations qui précèdent. Le principe de l'interdiction de l'anatocisme consacré à l'art. 105 al. 3 CO (cf. ci- dessous consid. 3.1.3) ne constitue pas une disposition impérative édictée dans l'intérêt public. Il apparaît que le recourant ne soulève pas un vice de la poursuite, mais vise la créance déduite en poursuite. Le grief concerne donc le bien-fondé de la requête de mainlevée, question qui sera examinée ci-après (cf. dans ce sens, arrêt de la Cour des poursuites et faillites du Tribunal cantonal vaudois du 31 juillet 2020 [KC19.030839-200153212]). Le premier grief du recourant se révèle ainsi infondé.</w:t>
      </w:r>
    </w:p>
    <w:p>
      <w:r>
        <w:rPr>
          <w:b/>
        </w:rPr>
        <w:t>E. 3</w:t>
      </w:r>
    </w:p>
    <w:p>
      <w:r>
        <w:t>Le recourant reproche au Tribunal d'avoir prononcé la mainlevée définitive, alors que la condition de l'identité entre la créance déduite en poursuite et la dette constatée par le titre invoqué n'était pas réalisée, et d'avoir alloué à l'intimé autre chose que ce qu'il demandait. A son avis, il n'appartenait pas au Tribunal de "corriger le défaut de précision du commandement de payer".</w:t>
      </w:r>
    </w:p>
    <w:p>
      <w:r>
        <w:rPr>
          <w:b/>
        </w:rPr>
        <w:t>E. 3.1.1</w:t>
      </w:r>
    </w:p>
    <w:p>
      <w:r>
        <w:t>Aux termes de l'art. 80 al. 1 LP, le créancier qui est au bénéfice d'un jugement exécutoire [ou d'une décision assimilée; pour la sentence arbitrale, cf. art. 387 CPC] peut requérir du juge la mainlevée définitive de l'opposition. La procédure de mainlevée, qu'elle soit provisoire ou définitive, est un incident de la</w:t>
      </w:r>
    </w:p>
    <w:p>
      <w:r>
        <w:t>- 7/10 -</w:t>
      </w:r>
    </w:p>
    <w:p>
      <w:r>
        <w:t>C/8447/2019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(arrêts du Tribunal fédéral 5D_211/2019 du 29 mai 2020 consid. 5.2.1; 5A_1023/2018 du 8 juillet 2019 consid. 6.2.4.2 et les autres références).</w:t>
      </w:r>
    </w:p>
    <w:p>
      <w:r>
        <w:rPr>
          <w:b/>
        </w:rPr>
        <w:t>E. 3.1.2</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du Tribunal fédéral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 du Tribunal fédéral 5A_1023/2018 du 8 juillet 2019 consid. 6.2.4.1 et les références). L'une des fonctions des indications contenues dans le commandement de payer est de répondre à un besoin de clarté et d'individualiser la prétention réclamée par voie d'exécution afin que le poursuivi puisse prendre position (ATF 141 III 173 consid. 2.2.2 et les références).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arrêts du Tribunal fédéral 5D_211/2019 précité consid. 5.2.2; 5A_1023/2018 précité consid. 6.2.4.1 et les autres références).</w:t>
      </w:r>
    </w:p>
    <w:p>
      <w:r>
        <w:t>- 8/10 -</w:t>
      </w:r>
    </w:p>
    <w:p>
      <w:r>
        <w:t>C/8447/2019</w:t>
      </w:r>
    </w:p>
    <w:p>
      <w:r>
        <w:rPr>
          <w:b/>
        </w:rPr>
        <w:t>E. 3.1.3</w:t>
      </w:r>
    </w:p>
    <w:p>
      <w:r>
        <w:t>Des intérêts ne peuvent être portés en compte pour cause de retard dans le paiement des intérêts moratoires (art. 105 al. 3 CO; interdiction de l'anatocisme). En vertu de la loi, l'intérêt moratoire est donc un intérêt simple, et non un intérêt composé, ce que le créancier ne peut modifier unilatéralement. Le législateur a voulu protéger le débiteur contre une augmentation exponentielle imprévue de sa dette qui résulterait de la composition des intérêts. Les parties peuvent cependant convenir d'ajouter l'intérêt moratoire échu au capital et faire courir l'intérêt sur le tout: il s'agit en principe d'une novation (qui ne se présume pas; art. 116 CO), c'est-à-dire d'une convention portant ici sur une dette d'intérêt déjà échue. L'art. 105 al. 3 CO est une règle dispositive qui interdit au créancier de provoquer unilatéralement une capitalisation des intérêts, mais pas aux parties de la stipuler (THEVENOZ, in Commentaire romand, Code des obligations I, 2012, n° 6 et 7 ad art. 105 CO).</w:t>
      </w:r>
    </w:p>
    <w:p>
      <w:r>
        <w:rPr>
          <w:b/>
        </w:rPr>
        <w:t>E. 3.1.4</w:t>
      </w:r>
    </w:p>
    <w:p>
      <w:r>
        <w:t>Le tribunal ne peut accorder à une partie ni plus ni autre chose que ce qui est demandé, ni moins que ce qui est reconnu par la partie adverse (art. 58 al. 1 CPC).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(arrêts du Tribunal fédéral 4A_440/2014 du 27 novembre 2014 consid. 3.3; 4A_307/2011 du 16 décembre 2011 consid. 2.4).</w:t>
      </w:r>
    </w:p>
    <w:p>
      <w:r>
        <w:rPr>
          <w:b/>
        </w:rPr>
        <w:t>E. 3.2</w:t>
      </w:r>
    </w:p>
    <w:p>
      <w:r>
        <w:t>En l'espèce, dans le commandement de payer, poursuite n° 1______, l'intimé a indiqué comme titre de la créance ou cause de l'obligation la sentence arbitrale du 30 août 2018. Il a produit ladite sentence avec sa requête de mainlevée définitive. Il y a donc identité entre la prétention déduite en poursuite et le titre, la question de savoir si le montant global mis en poursuite est plus ou moins élevé que celui résultant du titre n'étant pas déterminante à ce stade. En revanche, la mainlevée pouvait, au maximum, être accordée pour ce montant-là s'il était moins élevé (cf. arrêt du Tribunal fédéral 5A_842/2018 du 12 avril 2019 consid. 5.3). Les indications figurant dans le commandement de payer ont renseigné le poursuivi sur la créance alléguée et sur la cause de celle-ci; le recourant, avocat, a d'ailleurs parfaitement compris la situation et a pris position, en soutenant que les intérêts moratoires dus à partir du 1er février 2011 sur la somme de 34'329 fr. 50 ne pouvaient pas porter intérêts. A juste titre, le premier juge lui a donné raison sur ce point, dans la mesure où les parties n'avaient pas stipulé la capitalisation des intérêts. En outre, le Tribunal n'a pas accordé à l'intimé autre chose que ce qui était demandé, puisqu'il a prononcé la mainlevée à concurrence des deux montants en capital résultant de la sentence arbitrale et des intérêts accordés par celle-ci,</w:t>
      </w:r>
    </w:p>
    <w:p>
      <w:r>
        <w:t>- 9/10 -</w:t>
      </w:r>
    </w:p>
    <w:p>
      <w:r>
        <w:t>C/8447/2019 respectivement dus, étant relevé que les intérêts de retard sur la somme de 11'526 fr. 65 pouvaient être réclamés à compter de la communication de la sentence (cf. art. 387 CPC), mais ne l'ont été qu'à partir du 15 septembre 2019. Lesdits montants en capital et intérêts faisaient l'objet de la requête de mainlevée, même si l'intimé, comme le recourant le relevait lui-même dans sa détermination du 30 août 2019, a calculé les intérêts moratoires dus sur la somme de 34'329 fr. 50 pour la période du 1er février 2011 au 15 septembre 2018 (selon lui 13'088 fr. 10) et a, à tort, réclamé les intérêts moratoires également sur ce dernier montant. En définitive, le recours, qui se révèle infondé, sera rejeté.</w:t>
      </w:r>
    </w:p>
    <w:p>
      <w:r>
        <w:rPr>
          <w:b/>
        </w:rPr>
        <w:t>E. 4</w:t>
      </w:r>
    </w:p>
    <w:p>
      <w:r>
        <w:t>Les frais judiciaires de recours seront arrêtés à 750 fr. (art. 48 et 61 al. 1 OELP), y compris ceux de l'arrêt du 30 septembre 2019, et mis à la charge du recourant, qui succombe (art. 106 al. 1 CPC). Ils seront entièrement compensés avec l'avance de frais du même montant qu'il a fournie, laquelle demeure acquise à l'Etat de Genève (art. 111 al. 1 CPC). Le recourant sera en outre condamné à verser à l'intimée 600 fr. à titre de dépens du recours, débours compris et TVA compris (art. 85, 89 et 90 RTFMC; art. 25 et 26 LaCC). * * * * *</w:t>
      </w:r>
    </w:p>
    <w:p>
      <w:r>
        <w:t>- 10/10 -</w:t>
      </w:r>
    </w:p>
    <w:p>
      <w:r>
        <w:t>C/8447/2019 PAR CES MOTIFS, La Chambre civile : A la forme : Déclare recevable le recours interjeté le 23 septembre 2019 par A______ contre le jugement JTPI/12634/2019 rendu le 10 septembre 2019 par le Tribunal de première instance dans la cause C/8447/2019-22 SML. Au fond : Le rejette. Déboute les parties de toutes autres conclusions. Sur les frais : Arrête les frais judiciaires du recours à 750 fr., les met à la charge de A______ et les compense avec l'avance effectuée, qui demeure acquise à l'Etat de Genève. Condamne A______ à verser à C______ 600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