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ACJC/159/2015 vom 15. Mai 2014</w:t>
      </w:r>
    </w:p>
    <w:p>
      <w:r>
        <w:t>GE Cour de justice, 2014-05-15, FR</w:t>
      </w:r>
    </w:p>
    <w:p>
      <w:r>
        <w:rPr>
          <w:b/>
        </w:rPr>
        <w:t xml:space="preserve">Quelle: </w:t>
      </w:r>
      <w:r>
        <w:t>https://mcp.opencaselaw.ch/entscheid/ge_gerichte_ACJC_159_2015</w:t>
      </w:r>
    </w:p>
    <w:p>
      <w:r>
        <w:t>FR: GE_GERICHTE ACJC/159/2015 du 15 mai 2014</w:t>
      </w:r>
    </w:p>
    <w:p>
      <w:r>
        <w:t>IT: GE_GERICHTE ACJC/159/2015 del 15 maggio 2014</w:t>
      </w:r>
    </w:p>
    <w:p>
      <w:pPr>
        <w:pStyle w:val="Heading2"/>
      </w:pPr>
      <w:r>
        <w:t>Erwägungen</w:t>
      </w:r>
    </w:p>
    <w:p>
      <w:r>
        <w:rPr>
          <w:b/>
        </w:rPr>
        <w:t>E. 5.1</w:t>
      </w:r>
    </w:p>
    <w:p>
      <w:r>
        <w:t>Aux termes de l'article 272 al. 1 CO, le locataire peut demander une prolongation de bail lorsque la fin du bail aurait pour lui ou sa famille des conséquences pénibles sans que les intérêts du bailleur le justifient. S'agissant des conséquences pénibles, la jurisprudence fédérale précise que les suites de la résiliation d'un contrat de bail et du changement de locaux ne constituent pas à elles seules des conséquences pénibles au sens de l'article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considérant 3a p. 198; ATF 102 II 254). C'est au locataire qu'incombe de prouver lesdites conséquences pénibles (CONOD, Commentaire pratique, Droit du bail à loyer, no 14 ad art. 272 CO).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JdT 1985 I 265-266; ATF 102 II 254 = JdT 1977 I 558). Quant au montant du loyer, le locataire à la recherche d'un objet loué équivalent à celui qu'il doit quitter est tenu d'accepter de payer un loyer usuel pour la catégorie d'objets loués considérée, à moins que celui-ci puisse être qualifié d'abusif. S'il</w:t>
      </w:r>
    </w:p>
    <w:p>
      <w:r>
        <w:t>- 13/15 -</w:t>
      </w:r>
    </w:p>
    <w:p>
      <w:r>
        <w:t>C/16204/2012 limite d'emblée le montant de son futur loyer, le locataire doit accepter les locaux qui représentent la contrepartie équitable et usuelle; de même, il ne saurait refuser de déménager dans un endroit où il est moins connu de la clientèle car un tel inconvénient, lié à la résiliation elle-même, ne constitue pas en soi une conséquence pénible au sens de la loi (ATF du 18 avril 1994 dans la cause C c/ X. SA).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des locaux commerciaux (art. 272 al. 2 CO). Le locataire qui sous-loue ne peut en règle générale pas se prévaloir des conséquences pénibles pour le sous-locataire (LACHAT, op. cit., pp. 772-773; SVIT-Kommentar no 6 ad art. 273b CO).</w:t>
      </w:r>
    </w:p>
    <w:p>
      <w:r>
        <w:rPr>
          <w:b/>
        </w:rPr>
        <w:t>E. 5.2</w:t>
      </w:r>
    </w:p>
    <w:p>
      <w:r>
        <w:t>Dans le cas présent, il convient de relever que les appelants n'occupent plus l'appartement considéré depuis de nombreuses années et qu'ils n'ont manifestement pas l'intention de le réintégrer. En effet, B______ a quitté cet appartement depuis le début de l'année 2012 à tout le moins et A______, qui s'est vu attribuer les droits et obligations résultant du bail au terme de la procédure de divorce l'ayant opposé à B______, n'entend plus y résider, travaille et vit à Londres depuis 2011, de telle sorte que le centre de ses intérêts n'est plus à Genève, contrairement à ses allégations. L'appelant a à cet égard admis, lors de l'audience du 30 mai 2013, qu'il n'était à Genève que quelques jours par mois durant lesquels il résidait dans l'appartement. Par ailleurs, les autres locataires de l'immeuble n'ont pas revu A______ dans l'im- meuble depuis de nombreux mois ce qui confirme qu'il a perdu toute intention de réintégrer l'appartement litigieux et qu'il n'y séjourne que très irrégulièrement. Par ailleurs, il convient de relever que le H______ a soumis à A______ une proposition de relogement, que ce dernier a toutefois refusée sans raison valable. Les appelants ne sont pas parvenus à démontrer, ni même à rendre vraisemblable, les conséquences pénibles qu'ils subiraient en raison de la résiliation de leur contrat de bail à loyer notifiée le 25 juin 2012 pour le 30 juin 2013. En effet, on voit difficilement quelles conséquences pénibles les appelants pourraient subir eu égard au fait que B______ a déjà quitté l'appartement et que A______ vit et travaille à Londres depuis 2011. Il sied à cet égard de rappeler que les conséquences pénibles pour les sous- locataires des appelants ne doivent pas être prises en considération dans l'octroi de la prolongation du bail.</w:t>
      </w:r>
    </w:p>
    <w:p>
      <w:r>
        <w:t>- 14/15 -</w:t>
      </w:r>
    </w:p>
    <w:p>
      <w:r>
        <w:t>C/16204/2012 A cela s'ajoute que les appelants n'ont entrepris aucune démarche sérieuse depuis la notification du congé pour tenter de trouver une solution de relogement ce qui ne milite pas non plus en faveur de l'octroi d'une prolongation de bail. Partant, les appelants devront être intégralement déboutés de toutes leurs conclusions en prolongation de bail. Le jugement querellé devra également être confirmé sur ce point.</w:t>
      </w:r>
    </w:p>
    <w:p>
      <w:r>
        <w:rPr>
          <w:b/>
        </w:rPr>
        <w:t>E. 6</w:t>
      </w:r>
    </w:p>
    <w:p>
      <w:r>
        <w:t>A teneur de l'art. 22 LaCC, il n'est pas prélevé de frais dans les causes soumises à la juridiction des baux et loyers, étant rappelé que l'art. 116 al.1 CPC autorise les cantons à prévoir des dispenses de frais dans d'autres litiges que ceux visés à l'art. 114 CPC (ATF 139 III 182 consid. 2.6). * * * * *</w:t>
      </w:r>
    </w:p>
    <w:p>
      <w:r>
        <w:t>- 15/15 -</w:t>
      </w:r>
    </w:p>
    <w:p>
      <w:r>
        <w:t>C/16204/2012 PAR CES MOTIFS, La Chambre des baux et loyers : A la forme : Déclare recevable l'appel interjeté par A______ et B______ contre le jugement rendu par le Tribunal des baux et loyers le 15 mai 2014 dans la cause C/16204/2012-4-OSB. Au fond : Confirme ce jugement. Dit que la procédure est gratuite. Déboute les parties de toutes autres conclusions. Siégeant : Madame Pauline ERARD, présidente; Madame Sylvie DROIN et Monsieur Ivo BUETTI, juges; Madame Laurence CRUCHON et Monsieur Serge PATEK, juges assesseurs; Madame Maïté VALENTE, greffière.</w:t>
      </w:r>
    </w:p>
    <w:p>
      <w:r>
        <w:t>La présidente : Pauline ERARD</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