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ACJC/1587/2019 vom 2. Juli 2019</w:t>
      </w:r>
    </w:p>
    <w:p>
      <w:r>
        <w:t>GE Cour de justice, 2019-07-02, FR</w:t>
      </w:r>
    </w:p>
    <w:p>
      <w:r>
        <w:rPr>
          <w:b/>
        </w:rPr>
        <w:t xml:space="preserve">Quelle: </w:t>
      </w:r>
      <w:r>
        <w:t>https://mcp.opencaselaw.ch/entscheid/ge_gerichte_ACJC_1587_2019</w:t>
      </w:r>
    </w:p>
    <w:p>
      <w:r>
        <w:t>FR: GE_GERICHTE ACJC/1587/2019 du 2 juillet 2019</w:t>
      </w:r>
    </w:p>
    <w:p>
      <w:r>
        <w:t>IT: GE_GERICHTE ACJC/1587/2019 del 2 luglio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Selon l'art. 326 CPC, les conclusions, les allégations de faits et les preuves nouvelles sont irrecevables. Les pièces nouvelles produites par le recourant sont destinées à appuyer son argumentation juridique et elles ne tombent pas, de ce point de vue, sous l'interdiction des allégations ou des preuves nouvelles. La pièce nouvelle produite par l'intimé, relative à des versements effectués par le recourant, est en revanche irrecevable. Elle n'est, en tout état de cause, pas déterminante.</w:t>
      </w:r>
    </w:p>
    <w:p>
      <w:r>
        <w:rPr>
          <w:b/>
        </w:rPr>
        <w:t>E. 2</w:t>
      </w:r>
    </w:p>
    <w:p>
      <w:r>
        <w:t>Le recourant soutient que les indemnités journalières perçues par l'intimé constituent un revenu qui doit être déduit du montant de la contribution d'entretien</w:t>
      </w:r>
    </w:p>
    <w:p>
      <w:r>
        <w:t>- 7/10 -</w:t>
      </w:r>
    </w:p>
    <w:p>
      <w:r>
        <w:t>C/2441/2019 de 900 fr. Or, ces revenus étant supérieurs à 900 fr. le Tribunal ne pouvait prononcer la mainlevée provisoire de l'opposition.</w:t>
      </w:r>
    </w:p>
    <w:p>
      <w:r>
        <w:rPr>
          <w:b/>
        </w:rPr>
        <w:t>E. 2.1</w:t>
      </w:r>
    </w:p>
    <w:p>
      <w:r>
        <w:t>Aux termes de l'art. 80 al. 1 LP,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(ATF 143 III 564 consid. 4.1; 132 III 140 consid. 4.1.1 et les références; arrêt 5A_427/2011 du 10 octobre 2011 consid. 2).</w:t>
      </w:r>
    </w:p>
    <w:p>
      <w:r>
        <w:rPr>
          <w:b/>
        </w:rPr>
        <w:t>E. 2.2</w:t>
      </w:r>
    </w:p>
    <w:p>
      <w:r>
        <w:t>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(ATF 124 III 501 consid. 3b p. 503 et les références citées).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143 III 564 consid. 4.2.2; cf. également l'arrêt du Tribunal fédéral 5P.324/2005 du 22 février 2006 consid. 3.2). Le débiteur d'entretien est valablement libéré, pour les questions ne concernant pas un enfant, s'il peut se prévaloir d'une convention ou d'une renonciation sous seing-privé (cf. art. 284 al. 2 CPC; ABBET, in La mainlevée de l'opposition, 2017, n. 21 ad art. 81 LP). A cet égard, le Tribunal fédéral a jugé que le parent à qui les enfants ont été attribués ne peut pas plus renoncer à des contributions d'entretien futures qu'à la prétention à l'entretien elle-même, laquelle appartient à l'enfant envers l'autre parent (ATF 119 II 6).</w:t>
      </w:r>
    </w:p>
    <w:p>
      <w:r>
        <w:rPr>
          <w:b/>
        </w:rPr>
        <w:t>E. 2.3</w:t>
      </w:r>
    </w:p>
    <w:p>
      <w:r>
        <w:t>En l'espèce, il résulte du jugement du Tribunal du 23 avril 2015, qui n'a pas été remis en cause sur ce point par l'arrêt de la Cour du 12 février 2016, que le recourant doit verser à titre de contribution à l'entretien de l'intimé la somme de 900 fr. par mois jusqu'à la majorité de celui-ci, voire au-delà en cas d'études sérieuses et suivies mais au maximum jusqu'à l'âge de 25 ans.</w:t>
      </w:r>
    </w:p>
    <w:p>
      <w:r>
        <w:t>- 8/10 -</w:t>
      </w:r>
    </w:p>
    <w:p>
      <w:r>
        <w:t>C/2441/2019 Le 13 octobre 2017, l'intimé a renoncé au versement de ladite contribution d'entretien au motif qu'il ne suivrait pas de formation durant l'année académique 2017-2018. Il a toutefois également précisé que cette renonciation serait caduque dès qu'il aurait repris des études ou une formation sérieusement. L'intimé suit depuis le 27 août 2018 et jusqu'au 31 août 2020 un apprentissage dans le domaine ______. Il n'est pas contesté que cette formation soit régulièrement suivie. La condition pour qu'une contribution d'entretien soit versée en application du jugement du Tribunal et de l'arrêt de la Cour est donc remplie de ce point de vue. Le document du 13 octobre 2017 prévoit toutefois également que si l'intimé reprenait des études, les revenus qu'il obtiendrait le cas échéant seraient déduits du montant de la contribution d'entretien. Une telle convention est valable dans la mesure où elle concerne des contributions d'entretien dues pour une période postérieure à la majorité de l'intimé, auxquelles ce dernier a renoncé alors qu'il était déjà majeur. L'intimé n'explique par ailleurs pas pourquoi il n'aurait pas valablement consenti à cette réduction de la contribution d'entretien. Il ne résulte en outre pas de la convention que les indemnités de l'assurance AI ne devraient pas être prises en compte à titre de revenus et tel serait en principe le cas dans le cadre d'une action en fixation de la contribution d'entretien (cf. arrêts du Tribunal fédéral 5C.278/2002 du 28 janvier 2003 consid. 3.1, résumé in FamPra.ch 2003 p. 433; 5A_657/2008, 5A_658/2008 du 31 juillet 2009, consid. 3.3.2.1). Les indemnités perçues par l'intimé sont d'ailleurs mentionnées sous la rubrique "indemnisation" du contrat d'apprentissage de l'intimé, ce qui tend à démontrer qu'elles sont prises en compte comme revenu de l'activité de celui-ci. Il ressort des pièces figurant à la procédure que l'intimé bénéficie d'indemnités de l'assurance invalidité d'un montant de 1'158 fr. Par conséquent, dans la mesure où ledit montant est supérieur au montant de la contribution d'entretien de 900 fr., il doit être considéré, au vu de la convention du 13 octobre 2017, que le recourant est libéré du versement des montants prévus par les décisions judiciaires rendues. Le recours est dès lors fondé. Le jugement attaqué sera annulé et la requête de mainlevée formé par l'intimé le 4 février 2019 sera rejetée.</w:t>
      </w:r>
    </w:p>
    <w:p>
      <w:r>
        <w:rPr>
          <w:b/>
        </w:rPr>
        <w:t>E. 3</w:t>
      </w:r>
    </w:p>
    <w:p>
      <w:r>
        <w:t>L'intimé, qui succombe, sera condamné aux frais judiciaires de la procédure, arrêtés à 200 fr. pour la première instance et à 300 fr. pour la seconde, compensés avec les avances fournies, qui restent acquise à l'Etat de Genève. L'intimé sera condamné à verser au recourant 300 fr. à ce titre (art. 48 et 61 OELP).</w:t>
      </w:r>
    </w:p>
    <w:p>
      <w:r>
        <w:t>L'intimé sera également condamné à verser des dépens au recourant, arrêtés à 500 fr. pour la procédure de première instance et à 300 fr. pour celle de recours, débours et TVA compris (art. 85, 89 et 90 RTFMC). * * * * *</w:t>
      </w:r>
    </w:p>
    <w:p>
      <w:r>
        <w:t>- 9/10 -</w:t>
      </w:r>
    </w:p>
    <w:p>
      <w:r>
        <w:t>C/2441/2019 PAR CES MOTIFS, La Chambre civile : A la forme : Déclare recevable le recours interjeté par A______ contre le jugement JTPI/9803/2019 rendu le 2 juillet 2019 par le Tribunal de première instance dans la cause C/2441/2019- 10 SML. Au fond : Annule ce jugement. Cela fait, statuant à nouveau : Rejette la requête de mainlevée de l'opposition formée au commandement de payer, poursuite n° 1______ formée le 4 février 2019 par B______. Déboute les parties de toutes autres conclusions. Sur les frais : Arrête les frais judicaires de première instance à 200 fr. et ceux de recours à 300 fr., les met à la charge de B______ et dit qu'ils sont compensés avec les avances fournies, qui restent acquises à l'Etat de Genève. Condamne B______ à verser 300 fr. à A______ à titre de frais judiciaires. Condamne B______ à verser 500 fr. à A______ à titre de dépens de première instance et 300 fr. à titre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- 10/10 -</w:t>
      </w:r>
    </w:p>
    <w:p>
      <w:r>
        <w:t>C/2441/2019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