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ACJC/1586/2015 vom 14. September 2015</w:t>
      </w:r>
    </w:p>
    <w:p>
      <w:r>
        <w:t>GE Cour de justice, 2015-09-14, FR</w:t>
      </w:r>
    </w:p>
    <w:p>
      <w:r>
        <w:rPr>
          <w:b/>
        </w:rPr>
        <w:t xml:space="preserve">Quelle: </w:t>
      </w:r>
      <w:r>
        <w:t>https://mcp.opencaselaw.ch/entscheid/ge_gerichte_ACJC_1586_2015</w:t>
      </w:r>
    </w:p>
    <w:p>
      <w:r>
        <w:t>FR: GE_GERICHTE ACJC/1586/2015 du 14 septembre 2015</w:t>
      </w:r>
    </w:p>
    <w:p>
      <w:r>
        <w:t>IT: GE_GERICHTE ACJC/1586/2015 del 14 settembre 2015</w:t>
      </w:r>
    </w:p>
    <w:p>
      <w:pPr>
        <w:pStyle w:val="Heading2"/>
      </w:pPr>
      <w:r>
        <w:t>Erwägungen</w:t>
      </w:r>
    </w:p>
    <w:p>
      <w:r>
        <w:rPr>
          <w:b/>
        </w:rPr>
        <w:t>E. 1.1</w:t>
      </w:r>
    </w:p>
    <w:p>
      <w:r>
        <w:t>La voie du recours est ouverte contre les décisions du Tribunal de l'exécution (art. 309 let. a CPC; art. 319 let. a CPC).</w:t>
      </w:r>
    </w:p>
    <w:p>
      <w:r>
        <w:t>En l'espèce, n'est litigieuse que la question de l'exécution de l'évacuation, de sorte que la voie du recours est ouverte.</w:t>
      </w:r>
    </w:p>
    <w:p>
      <w:r>
        <w:rPr>
          <w:b/>
        </w:rPr>
        <w:t>E. 1.2</w:t>
      </w:r>
    </w:p>
    <w:p>
      <w:r>
        <w:t>Interjeté dans le délai prévu et selon la forme prescrite (art. 321 al. 1 et 2 CPC), le recours est recevable.</w:t>
      </w:r>
    </w:p>
    <w:p>
      <w:r>
        <w:t>- 4/6 -</w:t>
      </w:r>
    </w:p>
    <w:p>
      <w:r>
        <w:t>C/13394/2015</w:t>
      </w:r>
    </w:p>
    <w:p>
      <w:r>
        <w:rPr>
          <w:b/>
        </w:rPr>
        <w:t>E. 1.3</w:t>
      </w:r>
    </w:p>
    <w:p>
      <w:r>
        <w:t>L'instance de recours peut connaître de la violation du droit et de la constatation manifestement inexacte des faits (art. 320 CPC).</w:t>
      </w:r>
    </w:p>
    <w:p>
      <w:r>
        <w:rPr>
          <w:b/>
        </w:rPr>
        <w:t>E. 1.4</w:t>
      </w:r>
    </w:p>
    <w:p>
      <w:r>
        <w:t>Les conclusions, les allégations de faits et les preuves nouvelles sont irrecevables (art. 326 al. 1 CPC).</w:t>
      </w:r>
    </w:p>
    <w:p>
      <w:r>
        <w:t>Les allégations de la recourante relatives au caractère inhabitable de son appartement de Paris et à son absence de liens sociaux dans cette ville sont nouvelles et partant irrecevables.</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recourante reproche au Tribunal de ne pas avoir correctement pondéré les intérêts en présence en ne lui laissant qu'un très bref laps de temps pour quitter les locaux.</w:t>
      </w:r>
    </w:p>
    <w:p>
      <w:r>
        <w:rPr>
          <w:b/>
        </w:rPr>
        <w:t>E. 2.1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la recourante n'a fourni aucun élément justifiant un report de l'exécution de l'évacuation au 1er avril 2016. Les premiers juges ont correctement tenu compte des éléments du dossier, en particulier de l'âge de la recourante, du fait qu'elle était propriétaire d'un autre logement à Paris, et que rien ne s'opposait à ce qu'elle retourne y vivre. L'importance de l'arriéré qui continue de s'accumuler doit également être prise en compte s'agissant de l'intérêt de l'intimée à récupérer rapidement son bien. C'est également à bon droit que le Tribunal a retenu</w:t>
      </w:r>
    </w:p>
    <w:p>
      <w:r>
        <w:t>- 5/6 -</w:t>
      </w:r>
    </w:p>
    <w:p>
      <w:r>
        <w:t>C/13394/2015 qu'aucun motif humanitaire ne justifiait davantage le report de l'exécution de l'évacuation.</w:t>
      </w:r>
    </w:p>
    <w:p>
      <w:r>
        <w:t>Au vu de ce qui précède, le jugement du Tribunal ne prête pas le flanc à la critique en tant qu'il autorise l'exécution de l'évacuation dès le 30ème jour après l'entrée en force dudit jugement et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C/13394/2015 PAR CES MOTIFS, La Chambre des baux et loyers : A la forme : Déclare recevable le recours formé le 5 octobre 2015 par A______ contre le jugement JTBL/1027/2015 rendu le 14 septembre 2015 par le Tribunal des baux et loyers dans la cause C/13394/2015-7 SE. Au fond : Le rejette.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