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ACJC/1585/2014 vom 17. Dezember 2014</w:t>
      </w:r>
    </w:p>
    <w:p>
      <w:r>
        <w:t>GE Cour de justice, 2014-12-17, FR</w:t>
      </w:r>
    </w:p>
    <w:p>
      <w:r>
        <w:rPr>
          <w:b/>
        </w:rPr>
        <w:t xml:space="preserve">Quelle: </w:t>
      </w:r>
      <w:r>
        <w:t>https://mcp.opencaselaw.ch/entscheid/ge_gerichte_ACJC_1585_2014</w:t>
      </w:r>
    </w:p>
    <w:p>
      <w:r>
        <w:t>FR: GE_GERICHTE ACJC/1585/2014 du 17 décembre 2014</w:t>
      </w:r>
    </w:p>
    <w:p>
      <w:r>
        <w:t>IT: GE_GERICHTE ACJC/1585/2014 del 17 dicembre 2014</w:t>
      </w:r>
    </w:p>
    <w:p>
      <w:pPr>
        <w:pStyle w:val="Heading2"/>
      </w:pPr>
      <w:r>
        <w:t>Erwägungen</w:t>
      </w:r>
    </w:p>
    <w:p>
      <w:r>
        <w:rPr>
          <w:b/>
        </w:rPr>
        <w:t>E. 1.1</w:t>
      </w:r>
    </w:p>
    <w:p>
      <w:r>
        <w:t>L'appel est recevable contre les décisions de première instance sur les mesures provisionnelles; dans les affaires patrimoniales, il est recevable si la valeur litigieuse au dernier état des conclusions est de 10'000 fr. au moins (art. 308 al. 1 let. b et al. 2 CPC). Le litige portant sur la vente d'un terrain dont le prix initial a été fixé à 842'000 fr., la voie de l'appel est ouverte contre l'ordonnance entreprise.</w:t>
      </w:r>
    </w:p>
    <w:p>
      <w:r>
        <w:rPr>
          <w:b/>
        </w:rPr>
        <w:t>E. 1.2</w:t>
      </w:r>
    </w:p>
    <w:p>
      <w:r>
        <w:t>L'appel, écrit et motivé, a été introduit auprès de l'instance d'appel dans les dix jours à compter de la notification de la décision attaquée, s'agissant de mesures provisionnelles qui sont soumises à la procédure sommaire (art. 248 let. d, 311 al. 1 et 314 al. 1 CPC), de sorte qu'il est recevable.</w:t>
      </w:r>
    </w:p>
    <w:p>
      <w:r>
        <w:rPr>
          <w:b/>
        </w:rPr>
        <w:t>E. 2</w:t>
      </w:r>
    </w:p>
    <w:p>
      <w:r>
        <w:t>La Cour examine d'office la recevabilité des pièces produites en appel (REETZ/HILBER, Kommentar zur Schweizerischen Zivilprozessordnung, 2ème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- 5/8 -</w:t>
      </w:r>
    </w:p>
    <w:p>
      <w:r>
        <w:t>C/7766/2014 Au vu de ce qui précède, les pièces 35 et 36 produites par l'appelant et les pièces 9 et 11 de l'intimée - ainsi que les faits qui s'y rapportent - sont irrecevables en l'absence d'explication des motifs qui auraient empêché les parties de les produire devant le Tribunal. En revanche, les pièces 37 de l'appelant et 10 de l'intimée sont recevables ainsi que les allégués de faits s'y rapportant, car établies postérieurement à la date où le premier juge a gardé la cause à juger, soit le 2 juin 2014.</w:t>
      </w:r>
    </w:p>
    <w:p>
      <w:r>
        <w:rPr>
          <w:b/>
        </w:rPr>
        <w:t>E. 3</w:t>
      </w:r>
    </w:p>
    <w:p>
      <w:r>
        <w:t>L'appelant fait valoir que la promesse de vente et le droit d'emption sont deux objets distincts et que si le droit d'emption est effectivement périmé depuis le 15 janvier 2014, la promesse de vente est de durée indéterminée puisqu'aucune précision n'a été donnée quant à sa validité. En outre, le risque de vente de la parcelle serait concret, puisque le propriétaire de la parcelle voisine a voulu acquérir le terrain litigieux en 2005 et que, lui-même n'ayant pas les moyens d'offrir à l'intimée le prix de vente qu'elle souhaite, le terrain sera vendu à un tiers. 3.1.1 L'art. 261 al. 1 CPC prévoit que le tribunal ordonne les mesures provisionnelles nécessaires lorsque la partie requérante rend vraisemblable qu'une prétention lui appartenant est l'objet d'une atteinte ou risque de l'être, et que cette atteinte risque de lui causer un préjudice difficilement réparable. Il s'agit là de conditions cumulatives (ACJC/1219/2014 publié du 10 octobre 2014 consid. 5.2; BOHNET, in CPC, Code de procédure civile commenté, Bâle, 2011, n. 3 ad art. 261 CPC). Le requérant doit rendre vraisemblables ou plausibles les conditions de la mesure provisionnelle; celles-ci n'ont pas à être prouvées de manière absolue. La preuve de la vraisemblance doit être apportée pour les conditions auxquelles sont soumises les mesures provisionnelles, à savoir : la prétention au fond, l'atteinte ou le risque d'une atteinte à la prétention au fond et le risque d'un préjudice difficilement réparable (HOHL, Procédure civile, tome II, 2e éd., Berne, 2010, n. 1773 et 1774). Le juge doit évaluer les chances de succès de la demande au fond, et admettre ou refuser la mesure selon que l'existence du droit allégué apparaît plus vraisemblable que son inexistence. Lorsqu'il peut ainsi statuer sur la base de la simple vraisemblance, le juge n'a pas à être persuadé de l'exactitude des allégations du requérant, mais il suffit que, sur la base d'éléments objectifs, il acquière l'impression que les faits pertinents se sont produits, sans qu'il doive exclure pour autant la possibilité qu'ils se soient déroulés autrement; quant aux questions de droit, il peut se contenter d'un examen sommaire (arrêts du Tribunal fédéral 4A_508/2012 du 9 janvier 2013 consid. 4.2; 5P.422/2005 du 1er juin 2006 consid. 3 et les ATF cités).</w:t>
      </w:r>
    </w:p>
    <w:p>
      <w:r>
        <w:t>- 6/8 -</w:t>
      </w:r>
    </w:p>
    <w:p>
      <w:r>
        <w:t>C/7766/2014 Le requérant doit également rendre vraisemblable la nécessité d'une protection immédiate en raison d'un danger imminent menaçant ses droits, soit qu'ils risquent de ne plus être consacrés, ou seulement tardivement (BOHNET, op. cit., n. 10 ad art. 261 CPC). Il doit enfin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(TREIS, in Schweizerische Zivilprozessordnung [ZPO], 2010, n. 7 ad art. 261 CPC). 3.1.2 La promesse de vente est un précontrat au sens de l'art. 22 CO portant sur une vente immobilière. Elle peut être unilatérale, si une seule personne s'engage à conclure un contrat de vente, comme vendeur (promesse de vente) ou comme acheteur (promesse d'achat); elle sera le plus souvent bilatérale (promesse de vente et d'achat). L'engagement ne porte pas sur le transfert de propriété, mais sur la conclusion ultérieure du contrat de vente (TERCIER/FAVRE/ZEN-RUFFINEN, Les contrats spéciaux, 4ème éd., 2009, n. 1054, p. 156). Le pacte d'emption est le contrat par lequel une personne (le concédant) promet à une autre (l'empteur) de transférer une chose à un certain prix pour le cas où celle- ci déciderait d’en faire l’acquisition. Contrairement à ce qui vaut pour la promesse de vente, le droit d’emption confère à son titulaire la faculté d'exiger unilatéralement le transfert de propriété, sans qu'il soit nécessaire de conclure une nouvelle vente (TERCIER/FAVRE/ZEN-RUFFINEN, op. cit., n. 1108 ss, p. 166). Les promesses de vente et les pactes de préemption, d'emption et de réméré portant sur un immeuble ne sont valables que s'ils ont été passés en la forme authentique (art. 216 al. 2 CO).</w:t>
      </w:r>
    </w:p>
    <w:p>
      <w:r>
        <w:rPr>
          <w:b/>
        </w:rPr>
        <w:t>E. 3.2</w:t>
      </w:r>
    </w:p>
    <w:p>
      <w:r>
        <w:t>En l'espèce, il n'est pas contesté que la promesse de vente et le droit d'emption constituent deux contrats distincts et que le droit d'emption de l'appelant a pris fin le 15 janvier 2014. Par ailleurs, le contrat de promesse de vente, qui n'a pas été modifié par les contrats prorogeant le droit d'emption, prévoyait expressément une échéance au 30 juin 2005. Rien ne rend vraisemblable que la promesse de vente aurait été prolongée pour une durée indéterminée, étant précisé que toute prolongation aurait dû être faite en la forme authentique. La condition suspensive d'obtention de l'autorisation de construire n'avait pour but que de permettre à l'appelant de pouvoir renoncer à acheter le terrain entre la signature de la promesse et le 30 juin 2005 pour le cas où l'autorisation de</w:t>
      </w:r>
    </w:p>
    <w:p>
      <w:r>
        <w:t>- 7/8 -</w:t>
      </w:r>
    </w:p>
    <w:p>
      <w:r>
        <w:t>C/7766/2014 construire lui serait refusée. Tel a été le cas et la promesse de vente est devenue caduque le 1er juillet 2005. Seul le droit d'emption a subsisté, jusqu'au 15 janvier 2014, permettant à l'appelant de procéder à l'achat du bien immobilier dans le délai convenu, ce qu'il n'a pas fait. Par conséquent, l'appelant n'a pas rendu vraisemblable l'existence d'un accord qui pourrait contraindre l'intimée à lui vendre le terrain litigieux au prix fixé en 2005. Par ailleurs, l'intimée a rendu vraisemblable ne pas avoir d'autre acheteur en vue que l'appelant et ce dernier n'a pas rendu plausible que l'intimée aurait proposé la vente de sa parcelle à des tiers. Au vu de ce qui précède, c'est à juste titre que le Tribunal a débouté l'appelant de ses conclusions sur mesures provisionnelles. La décision querellée sera donc confirmée.</w:t>
      </w:r>
    </w:p>
    <w:p>
      <w:r>
        <w:rPr>
          <w:b/>
        </w:rPr>
        <w:t>E. 4</w:t>
      </w:r>
    </w:p>
    <w:p>
      <w:r>
        <w:t>L'appelant, qui succombe, supportera les frais d'appel (art. 106 al. 1 CPC), arrêtés à 800 fr. (art. 105 al. 1 CPC; art. 26 et 37 RTFMC) et compensés avec l'avance de frais du même montant qu'il a effectuée, qui reste acquise à l'Etat (art. 111 al. 1 CPC).</w:t>
      </w:r>
    </w:p>
    <w:p>
      <w:r>
        <w:t>Vu l'activité déployée par le conseil de l'intimée et compte tenu du fait qu'il s'agit d'une procédure sommaire, l'appelant versera en outre 2'000 fr. à titre de dépens, débours et TVA compris (art. 23, 25 et 26 LaCC; art. 84, 85, 88 et 90 RTFMC).</w:t>
      </w:r>
    </w:p>
    <w:p>
      <w:r>
        <w:rPr>
          <w:b/>
        </w:rPr>
        <w:t>E. 5</w:t>
      </w:r>
    </w:p>
    <w:p>
      <w:r>
        <w:t>La valeur litigieuse est supérieure au seuil de 30'000 fr. (art. 74 al. 1 let. b LTF), ce qui ouvre la voie du recours en matière civile au Tribunal fédéral (art. 72 al. 1 LTF), les moyens étant toutefois limités à la violation de droits constitutionnels (art. 98 LTF). * * * * *</w:t>
      </w:r>
    </w:p>
    <w:p>
      <w:r>
        <w:t>- 8/8 -</w:t>
      </w:r>
    </w:p>
    <w:p>
      <w:r>
        <w:t>C/7766/2014 PAR CES MOTIFS, La Chambre civile : A la forme : Déclare recevable l'appel interjeté le 5 septembre 2014 par A______ contre l'ordonnance OTPI/1110/2014 rendue le 25 août 2014 par le Tribunal de première instance dans la cause C/7766/2014-19 SP. Au fond : Confirme l'ordonnance querellée. Déboute les parties de toutes autres conclusions. Sur les frais : Arrête les frais judiciaires d'appel à 800 fr., les met à la charge de A______ et les compense avec l'avance de frais fournie par ce dernier, acquise à l'Etat de Genève. Condamne A______ à verser à B______ de 2'000 fr. à titre de dépens d'appel.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