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ACJC/1583/2022 vom 2. Dezember 2022</w:t>
      </w:r>
    </w:p>
    <w:p>
      <w:r>
        <w:t>GE Cour de justice, 2022-12-02, FR</w:t>
      </w:r>
    </w:p>
    <w:p>
      <w:r>
        <w:rPr>
          <w:b/>
        </w:rPr>
        <w:t xml:space="preserve">Quelle: </w:t>
      </w:r>
      <w:r>
        <w:t>https://mcp.opencaselaw.ch/entscheid/ge_gerichte_ACJC_1583_2022</w:t>
      </w:r>
    </w:p>
    <w:p>
      <w:r>
        <w:t>FR: GE_GERICHTE ACJC/1583/2022 du 2 décembre 2022</w:t>
      </w:r>
    </w:p>
    <w:p>
      <w:r>
        <w:t>IT: GE_GERICHTE ACJC/1583/2022 del 2 dicembre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 décembre 2022.</w:t>
      </w:r>
    </w:p>
    <w:p>
      <w:r>
        <w:t>REPUBLIQUE ET</w:t>
      </w:r>
    </w:p>
    <w:p>
      <w:r>
        <w:t>CANTON DE GENEVE POUVOIR JUDICIAIRE C/20386/2021 ACJC/1583/2022 ARRÊT DE LA COUR DE JUSTICE Chambre civile DU MERCREDI 30 NOVEMBRE 2022</w:t>
      </w:r>
    </w:p>
    <w:p>
      <w:r>
        <w:t>Entre Madame A______, domiciliée ______, appelante d’un jugement rendu par la 18ème Chambre du Tribunal de première instance de ce canton le 31 mars 2022, comparant par Me Cyrille PIGUET, avocat, rue du Grand-Chêne 8, case postale 5463, 1002 Lausanne, en l'Étude duquel elle fait élection de domicile, et Madame B______, domiciliée ______, intimée, comparant par Me Mike HORNUNG, avocat, étude de Me Mike HORNUNG, place du Bourg-de-Four 9, 1204 Genève, en l'Étude duquel elle fait élection de domicile.</w:t>
      </w:r>
    </w:p>
    <w:p>
      <w:r>
        <w:t>- 2/4 -</w:t>
      </w:r>
    </w:p>
    <w:p>
      <w:r>
        <w:t>C/20386/2021 Attendu, EN FAIT, que par jugement JTPI/6245/2020 du 27 mai 2020, rendu dans la cause C/1______/2015, le Tribunal de première instance a ordonné le partage de la succession de feue C______, disant notamment que B______ devait restituer à la succession de la précitée la somme de 610'185 fr. 90 (chiffre 3 du dispositif), disant que le partage des biens immobiliers se ferait en nature (ch. 6), et désignant D______, notaire, pour procéder à l'exécution du partage (ch. 12); Que par arrêt ACJC/301/2021 du 24 février 2021, la Cour a notamment complété le chiffre 3 du jugement précité, en ce sens que la somme de 610'185 fr. 90 était assortie d'intérêts à 5% dès le 1er juillet 2015; Que B______ a interjeté recours contre cet arrêt; Que par arrêt 5A_376/2021 du 26 janvier 2022, le Tribunal fédéral a annulé l'arrêt de la Cour du 24 février 2021 dans la cause C/1______/2015 et lui a renvoyé la cause pour nouvelle décision; Que par arrêt ACJC/1021/2022 du 27 juillet 2022 dans la cause C/1______/2015, la Cour, statuant sur renvoi du Tribunal fédéral, a complété le chiffre 3 du dispositif du jugement JTPI/6245/2020 du 27 mai 2020 en ce sens notamment que "B______ doit restituer à la succession de feu C______ la somme de 610'185 fr. 90, plus intérêts à 2,57% dès le 1er mars 2011". Qu'entretemps, par requête du 21 octobre 2021, A______ a agi en exécution du jugement du 27 mai 2020, contre sa sœur B______ (C/20386/2021), au motif que le notaire refusait d'entreprendre toute démarche en vue du partage de la succession, compte tenu de la procédure pendante devant le Tribunal fédéral; Que par jugement JTPI/4075/2022 du 31 mars 2022, le Tribunal a rejeté la requête en exécution de A______ reçue le 21 octobre 2021; Que par acte du 14 avril 2022 à la Cour de justice, A______ a formé appel contre ce jugement; Que B______ a répondu à l'appel le 9 mai 2022, par des écritures comprenant huit pages; Que par courrier du 3 octobre 2022 les parties ont été invitées à se déterminer sur la suite à donner à la procédure, l'arrêt du 27 juillet 2022 rendu dans la cause C/1______/2015 étant définitif; Que par courrier du 10 octobre 2022 A______ a relevé que l'arrêt rendu dans la cause C/1______/2015 étant définitif, la question pouvait se poser de "l'opportunité du recours" et a requis une suspension de procédure de deux mois;</w:t>
      </w:r>
    </w:p>
    <w:p>
      <w:r>
        <w:t>- 3/4 -</w:t>
      </w:r>
    </w:p>
    <w:p>
      <w:r>
        <w:t>C/20386/2021 Que par courrier du 14 octobre 2022 B______ ne s'est pas opposée au retrait de l'appel formé par A______; Que par courrier expédié au greffe de la Cour le 28 octobre 2022, A______ a déclaré retirer son appel; Que par courrier du 9 novembre 2022, B______ a conclu à ce que les frais et dépens soient mis à la charge de la précitée, au motif que celle-ci était responsable de l'inaction du notaire, due au recours interjeté au Tribunal fédéral contre l'arrêt de la Cour du 24 février 2021; Que le 14 novembre 2022, A______ s'est opposée à ce que les frais soient mis à sa charge, faisant valoir qu'elle avait été contrainte de retirer son recours pour que le notaire procède à l'exécution du partage; Considérant, EN DROIT, qu'une transaction, un acquiescement ou un désistement d'action a les effets d'une décision entrée en force (art. 241 al. 2 CPC); Que dans un tel cas, l'autorité saisie raye l'affaire du rôle (art. 241 al. 3 CPC); Qu'en l'espèce, il sera pris acte du retrait de l'appel et que la cause sera rayée du rôle; Qu'en équité, les frais seront mis à la charge des parties, à raison d'une moitié chacune (art. 107 al. 1 let. f CPC); qu'en effet, il n'apparaît pas que l'inaction du notaire soit imputable uniquement à l'une ou l'autre d'entre elles; que le litige revêt pour le surplus un caractère familial (art. 107 al. 1 let. c CPC); Que selon l'art. 7 RTFMC, lorsqu'une cause est retirée, transigée, déclarée irrecevable, jointe à une autre cause ou lorsque l'équité le justifie, l'émolument minimal peut être réduit, au maximum à concurrence des ¾, mais, en principe, pas en deçà d'un solde de 1'000 fr. (al. 1); que lorsque des circonstances particulières le justifient, il peut être entièrement renoncé à la fixation d'un émolument (al. 2); Que les frais judiciaires de l'appel seront arrêtés à 500 fr. au regard de l'activité déployée par la Cour de céans; que le solde de l'avance sera restitué à la partie appelante; Que ces frais sont compensés à due concurrence avec l'avance fournie par la partie appelante, qui reste acquise à l'Etat de Genève (art. 111 al. 1 CPC); Que chaque partie supportera ses propres dépens. * * * * *</w:t>
      </w:r>
    </w:p>
    <w:p>
      <w:r>
        <w:t>- 4/4 -</w:t>
      </w:r>
    </w:p>
    <w:p>
      <w:r>
        <w:t>C/20386/2021 PAR CES MOTIFS, La Chambre civile : Prend acte du retrait de l'appel formé par A______ le 14 avril 2022 contre le jugement JTPI/4075/2022 dans la cause C/20386/2021-18 SEX. Arrête les frais judiciaires de la procédure à 500 fr. Les met à la charge de A______ et de B______ à raison d'une moitié chacune, et dit qu'ils sont compensés à due concurrence avec l'avance de frais fournie, acquise à l'Etat de Genève. Condamne B______ à verser à A______ la somme de 250 fr. à titre de remboursement de l'avance de frais. Invite les Services financiers du Pouvoir judiciaire à restituer à A______ le solde de son avance en 1'500 fr. Dit qu'il n'est pas alloué de dépens. Déboute les parties de toutes autres conclusions. Raye la cause du rôle. Siégeant : Madame Pauline ERARD, présidente; Madame Sylvie DROIN, Madame Nathalie LANDRY-BARTHE, juges; Madame Laura SESSA, greffière. 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