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ACJC/1582/2014 vom 15. Oktober 2014</w:t>
      </w:r>
    </w:p>
    <w:p>
      <w:r>
        <w:t>GE Cour de justice, 2014-10-15, FR</w:t>
      </w:r>
    </w:p>
    <w:p>
      <w:r>
        <w:rPr>
          <w:b/>
        </w:rPr>
        <w:t xml:space="preserve">Quelle: </w:t>
      </w:r>
      <w:r>
        <w:t>https://mcp.opencaselaw.ch/entscheid/ge_gerichte_ACJC_1582_2014</w:t>
      </w:r>
    </w:p>
    <w:p>
      <w:r>
        <w:t>FR: GE_GERICHTE ACJC/1582/2014 du 15 octobre 2014</w:t>
      </w:r>
    </w:p>
    <w:p>
      <w:r>
        <w:t>IT: GE_GERICHTE ACJC/1582/2014 del 15 ottobre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Selon la jurisprudence, il faut exceptionnellement entrer en matière sur un recours dont les conclusions sont formellement viciées lorsque ce que le recourant demande au fond résulte de la motivation, éventuellement mise en relation avec la décision attaquée. Les conclusions doivent ainsi être interprétées à la lumière de la motivation (ATF 137 III 617 consid. 6.2, JdT 2014 II 187, SJ 2012 I 373; arrêt du Tribunal fédéral 5A_126/2014 du 10 juillet 2014 consid. 3.1.2).</w:t>
      </w:r>
    </w:p>
    <w:p>
      <w:r>
        <w:rPr>
          <w:b/>
        </w:rPr>
        <w:t>E. 1.2</w:t>
      </w:r>
    </w:p>
    <w:p>
      <w:r>
        <w:t>En l'espèce le recours a été interjeté dans le délai et selon les formes prévus par la loi. La conclusion visant à ce que la Cour condamne l'intimé à verser à la recourante le solde qui lui reste dû est cependant irrecevable car d'une part elle n'a pas été formulée en première instance et, d'autre part, les conclusions condamnatoires sont irrecevables s'agissant d'une procédure de mainlevée de l'opposition dans le cadre de laquelle le juge doit se limiter à statuer sur le bien-fondé de l'opposition formée au commandement de payer (GILLIERON, Commentaire de la Loi fédérale sur la poursuite pour dettes et la faillite, 1999, n. 9 et 10 ad art. 80 LP). Cela étant, l'on comprend à la lumière de la motivation du recours que la recourante entend obtenir le prononcé de la mainlevée définitive de l'opposition formée au commandement de payer. Le recours sera par conséquent déclaré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- 4/7 -</w:t>
      </w:r>
    </w:p>
    <w:p>
      <w:r>
        <w:t>C/14293/2014 formulés et motivés par la partie recourante (HOHL, Procédure civile, Tome II, 2ème édition, Berne, 2010, n° 2307). Les maximes des débats et de disposition s'appliquent (art. 55 al. 1, 255 lit. a a contrario et 58 al. 1 CPC).</w:t>
      </w:r>
    </w:p>
    <w:p>
      <w:r>
        <w:rPr>
          <w:b/>
        </w:rPr>
        <w:t>E. 2</w:t>
      </w:r>
    </w:p>
    <w:p>
      <w:r>
        <w:t>Selon l'art. 326 al. 1 CPC, les conclusions, allégations de faits et preuves nouvelles sont irrecevables.</w:t>
      </w:r>
    </w:p>
    <w:p>
      <w:r>
        <w:t>Les pièces nouvelles produites par la recourante sont par conséquent irrecevables.</w:t>
      </w:r>
    </w:p>
    <w:p>
      <w:r>
        <w:rPr>
          <w:b/>
        </w:rPr>
        <w:t>E. 3</w:t>
      </w:r>
    </w:p>
    <w:p>
      <w:r>
        <w:t>La recourante fait valoir que la formulation du commandement de payer, reprise dans la requête en mainlevée, était suffisamment précise pour permettre au Tribunal de comprendre que le montant de 2'400 fr. avait déjà été versé pour chacun des mois concernés, de sorte qu'un solde à payer de 350 fr. par mois subsistait.</w:t>
      </w:r>
    </w:p>
    <w:p>
      <w:r>
        <w:rPr>
          <w:b/>
        </w:rPr>
        <w:t>E. 3.1</w:t>
      </w:r>
    </w:p>
    <w:p>
      <w:r>
        <w:t>Aux termes de l'art. 80 LP, le créancier qui est au bénéfice d'un jugement exécutoire peut requérir du juge la mainlevée définitive de l'opposition. 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seulement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w:t>
      </w:r>
    </w:p>
    <w:p>
      <w:r>
        <w:rPr>
          <w:b/>
        </w:rPr>
        <w:t>E. 3.2</w:t>
      </w:r>
    </w:p>
    <w:p>
      <w:r>
        <w:t>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w:t>
      </w:r>
    </w:p>
    <w:p>
      <w:r>
        <w:t>- 5/7 -</w:t>
      </w:r>
    </w:p>
    <w:p>
      <w:r>
        <w:t>C/14293/2014 Il ne s'agit cependant pas là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 ACJC/1472/2013 du 13 décembre 2013).</w:t>
      </w:r>
    </w:p>
    <w:p>
      <w:r>
        <w:rPr>
          <w:b/>
        </w:rPr>
        <w:t>E. 3.3</w:t>
      </w:r>
    </w:p>
    <w:p>
      <w:r>
        <w:t>Dans le cadre d'une requête de mainlevée définitive fondée sur un jugement exécutoire,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w:t>
      </w:r>
    </w:p>
    <w:p>
      <w:r>
        <w:rPr>
          <w:b/>
        </w:rPr>
        <w:t>E. 3.4</w:t>
      </w:r>
    </w:p>
    <w:p>
      <w:r>
        <w:t>En l'occurrence, il résulte du commandement de payer et de la requête de mainlevée formée par la recourante que celle-ci réclamait à l'intimé trois montants de 350 fr. au titre de solde de contributions d'entretien pour les mois d'avril à juin 2014. La recourante a en outre produit un jugement exécutoire, duquel il ressort que l'intimé doit lui verser un montant de 2'750 fr. par mois à ce titre pour la période concernée. Contrairement à ce qu'a retenu le Tribunal, ces indications étaient suffisamment précises pour permettre à l'intimé de comprendre quels étaient exactement les montants réclamés pour quelle période. En outre, il incombait à l'intimé, et non à la recourante, d'établir le montant exact à concurrence duquel la dette était, cas échéant, éteinte. C'est par conséquent à tort que le Tribunal a refusé le prononcé de la mainlevée au motif que la recourante n'avait pas produit de pièce justifiant des montants effectivement payés, respectivement impayés par l'intimé au titre de la contribution d'entretien.</w:t>
      </w:r>
    </w:p>
    <w:p>
      <w:r>
        <w:rPr>
          <w:b/>
        </w:rPr>
        <w:t>E. 4.1</w:t>
      </w:r>
    </w:p>
    <w:p>
      <w:r>
        <w:t>Selon l'art. 327 al. 3 CPC, l'instance de recours qui admet le recours annule la décision et renvoie la cause à l'instance précédente ou rend une nouvelle décision si la cause est en état d'être jugée.</w:t>
      </w:r>
    </w:p>
    <w:p>
      <w:r>
        <w:t>- 6/7 -</w:t>
      </w:r>
    </w:p>
    <w:p>
      <w:r>
        <w:t>C/14293/2014</w:t>
      </w:r>
    </w:p>
    <w:p>
      <w:r>
        <w:rPr>
          <w:b/>
        </w:rPr>
        <w:t>E. 4.2</w:t>
      </w:r>
    </w:p>
    <w:p>
      <w:r>
        <w:t>A teneur de l'art. 253 CPC, applicable à une requête de mainlevée de l'opposition, lorsque la requête ne paraît pas manifestement irrecevable ou infondée, le tribunal donne à la partie adverse l'occasion de se déterminer oralement ou par écrit.</w:t>
      </w:r>
    </w:p>
    <w:p>
      <w:r>
        <w:t>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4.3</w:t>
      </w:r>
    </w:p>
    <w:p>
      <w:r>
        <w:t>En l'espèce, le Tribunal n'a pas donné à l'intimé l'occasion de se déterminer sur la requête. Il ne peut pas être remédié à cette omission dans le cadre du recours, puisque la Cour de céans ne dispose pas d'un pouvoir de cognition complet. La cause n'est par conséquent pas en état d'être jugée et doit être renvoyée au Tribunal pour nouvelle décision.</w:t>
      </w:r>
    </w:p>
    <w:p>
      <w:r>
        <w:rPr>
          <w:b/>
        </w:rPr>
        <w:t>E. 5</w:t>
      </w:r>
    </w:p>
    <w:p>
      <w:r>
        <w:t>Les frais judiciaires du recours seront mis à la charge de l'intimé qui succombe (art. 106 al. 1 CPC). Ils seront arrêtés à 300 fr. (48 et 61 al. 1 OELP), montant entièrement couvert par l'avance de frais effectuée par la recourante, laquelle est acquise à l'Etat de Genève (art. 111 al. 1 CPC). L'intimé devra par conséquent rembourser ce montant à la recourante (art. 111 al. 2 CPC).</w:t>
      </w:r>
    </w:p>
    <w:p>
      <w:r>
        <w:t>Il n'y a pas lieu d'allouer de dépens à la recourante qui n'est pas représentée par avocat (art. 95 al. 3 let. c CPC). * * * * *</w:t>
      </w:r>
    </w:p>
    <w:p>
      <w:r>
        <w:t>- 7/7 -</w:t>
      </w:r>
    </w:p>
    <w:p>
      <w:r>
        <w:t>C/14293/2014 PAR CES MOTIFS, La Chambre civile : A la forme : Déclare recevable le recours interjeté par A______ contre le jugement JTPI/13017/2014 rendu le 15 octobre 2014 par le Tribunal de première instance dans la cause C/14293/2014-16 SML. Au fond : Annule ce jugement. Cela fait : Renvoie la cause au Tribunal de première instance pour nouvelle décision. Sur les frais : Arrête les frais judiciaires du recours à 300 fr. et les met à la charge de B______. Dit qu'ils sont compensés par l'avance de frais fournie par A______, laquelle reste acquise à l'Etat de Genève. Condamne B______ à verser à A______ 300 fr. au titre des frais judiciaires. Dit qu'il n'est pas alloué de dépens. Siégeant : Monsieur Laurent RIEBEN, président; Madame Pauline ERARD et Madame Fabienne GEISINGER-MARIÉTHOZ, juges; Madame Céline FERREIRA, greffière. Le président : Laurent RIEBEN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