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ACJC/157/2024 vom 5. Oktober 2023</w:t>
      </w:r>
    </w:p>
    <w:p>
      <w:r>
        <w:t>GE Cour de justice, 2023-10-05, FR</w:t>
      </w:r>
    </w:p>
    <w:p>
      <w:r>
        <w:rPr>
          <w:b/>
        </w:rPr>
        <w:t xml:space="preserve">Quelle: </w:t>
      </w:r>
      <w:r>
        <w:t>https://mcp.opencaselaw.ch/entscheid/ge_gerichte_ACJC_157_2024</w:t>
      </w:r>
    </w:p>
    <w:p>
      <w:r>
        <w:t>FR: GE_GERICHTE ACJC/157/2024 du 5 octobre 2023</w:t>
      </w:r>
    </w:p>
    <w:p>
      <w:r>
        <w:t>IT: GE_GERICHTE ACJC/157/2024 del 5 ottobre 2023</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 Interjeté auprès de l'autorité compétente (art. 120 al. 1 let. a LOJ), dans le délai utile de 10 jours et selon la forme requise (art. 321 al. 1 et 2 CPC; art. 174 al. 1 LP), le recours est recevable. Les décisions rendues en matière de faillite sont soumises à la procédure sommaire (art. 251 let. a CPC). Les faits sont établis d'office (maxime inquisitoire, art. 255 let. a CPC).</w:t>
      </w:r>
    </w:p>
    <w:p>
      <w:r>
        <w:t>- 4/7 -</w:t>
      </w:r>
    </w:p>
    <w:p>
      <w:r>
        <w:t>C/16864/2023</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w:t>
      </w:r>
    </w:p>
    <w:p>
      <w:r>
        <w:rPr>
          <w:b/>
        </w:rPr>
        <w:t>E. 2.2</w:t>
      </w:r>
    </w:p>
    <w:p>
      <w:r>
        <w:t>En l'espèce, bien que la cause soit relative à une requête de faillite, le recours dirigé contre le jugement attaqué se limite à des griefs formels en lien avec le défaut de la recourante à l'audience du Tribunal et avec la notification de la décision. Les pièces produites par la recourante, en tant qu'elles ont trait à ces griefs, sont recevables.</w:t>
      </w:r>
    </w:p>
    <w:p>
      <w:r>
        <w:rPr>
          <w:b/>
        </w:rPr>
        <w:t>E. 3</w:t>
      </w:r>
    </w:p>
    <w:p>
      <w:r>
        <w:t>La recourante fait grief au Tribunal d'avoir violé l'art. 137 CPC. A titre subsidiaire, elle requiert une restitution de délai.</w:t>
      </w:r>
    </w:p>
    <w:p>
      <w:r>
        <w:rPr>
          <w:b/>
        </w:rPr>
        <w:t>E. 3.1</w:t>
      </w:r>
    </w:p>
    <w:p>
      <w:r>
        <w:t>L'art. 137 CPC prévoit que lorsque la partie est représentée, les actes sont notifiés à son représentant.</w:t>
      </w:r>
    </w:p>
    <w:p>
      <w:r>
        <w:t>L'application de cette disposition suppose qu'au moment de l'envoi de l'acte, la représentation ait existé et qu'elle ait été portée à la connaissance du Tribunal (ATF 143 III 28 consid. 2.2.1).</w:t>
      </w:r>
    </w:p>
    <w:p>
      <w:r>
        <w:rPr>
          <w:b/>
        </w:rPr>
        <w:t>E. 3.2</w:t>
      </w:r>
    </w:p>
    <w:p>
      <w:r>
        <w:t>Les décisions sont notifiées par envoi recommandé ou d'une autre manière contre accusé de réception (art. 138 al. 1 CPC).</w:t>
      </w:r>
    </w:p>
    <w:p>
      <w:r>
        <w:t>Selon la jurisprudence, pour les envois postaux recommandés, il existe une présomption selon laquelle l'employé de la Poste a dûment déposé l'avis de retrait dans la boîte aux lettres ou la boîte postale du destinataire, et que la date de distribution a été correctement enregistrée. Cette présomption peut être renversée si le destinataire établit au degré de la vraisemblance prépondérante une erreur dans la notification; il faut des indices concrets d'une erreur (ATF 142 IV 201 consid. 2.3 en matière pénale, et les arrêts cités; arrêt du Tribunal fédéral 4A_250/2008 du 18 juin 2008 consid. 3.2.2).</w:t>
      </w:r>
    </w:p>
    <w:p>
      <w:r>
        <w:t>Elle ne peut s'appliquer que s'il existe un rapport procédural entre les parties, qui ne prend naissance qu'avec la litispendance (ATF 138 III 225 consid. 3.2).</w:t>
      </w:r>
    </w:p>
    <w:p>
      <w:r>
        <w:t>- 5/7 -</w:t>
      </w:r>
    </w:p>
    <w:p>
      <w:r>
        <w:t>C/16864/2023 Lorsque le destinataire est partie à une procédure, il doit s'attendre en principe à une notification d'un acte judiciaire pendant toute la durée de celle-ci (arrêt du Tribunal fédéral 4A_660/2011 du 9 février 2012 consid. 2.4.1).</w:t>
      </w:r>
    </w:p>
    <w:p>
      <w:r>
        <w:rPr>
          <w:b/>
        </w:rPr>
        <w:t>E. 3.3</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4A_617/2020 du 21 janvier 2021 consid. 3.1; 4A_52/2019 du 20 mars 2019 consid. 3.1).</w:t>
      </w:r>
    </w:p>
    <w:p>
      <w:r>
        <w:rPr>
          <w:b/>
        </w:rPr>
        <w:t>E. 3.4</w:t>
      </w:r>
    </w:p>
    <w:p>
      <w:r>
        <w:t>En l'espèce, la citation à comparaître à l'audience du 5 octobre 2023 a été correctement adressée au siège de la recourante, en l'absence de tout domicile élu dont le Tribunal aurait pu avoir connaissance. La recourante ne conteste d'ailleurs pas que cette notification est valablement intervenue, se limitant à soutenir qu'elle n'aurait pas pris connaissance du contenu de l'envoi, formulant pour le surplus des reproches à l'adresse de l'intimée qui aurait dû faire mention dans sa requête de l'élection de domicile. L'intimée ne conteste pas qu'elle connaissait le mandat du conseil de la recourante, de par les échanges intervenus avec celle-ci avant le dépôt de la requête de faillite. Elle aurait donc été en mesure de prendre cet élément en considération; contrairement à ce que soutient la recourante, rien ne la contraignait à le faire, l'art. 137 CPC ne s'appliquant qu'au Tribunal. Les reproches de la recourante sont ainsi sans portée sur la validité de la notification de la convocation à l'audience opérée par le Tribunal.</w:t>
      </w:r>
    </w:p>
    <w:p>
      <w:r>
        <w:t>Pour le surplus, la restitution de délai réclamée à titre subsidiaire aurait dû être soumise au Tribunal, cas échéant, de sorte qu'elle n'apparaît pas recevable dans le cadre du recours.</w:t>
      </w:r>
    </w:p>
    <w:p>
      <w:r>
        <w:t>En ce qui concerne la décision attaquée, la notification régulière de celle-ci résulte du suivi des envois de la poste, lequel porte la mention du nom "C______", soit celle de l'administrateur, ainsi qu'une signature. La recourante conteste que le précité ait reçu ce pli et signé l'avis postal, sans fournir davantage d'explications. Elle ne présente ainsi aucun indice concret d'une erreur commise par un employé postal, de nature à renverser la présomption de véracité rappelée ci-dessus; au demeurant, on ne discerne pas comment le nom de l'administrateur aurait pu être</w:t>
      </w:r>
    </w:p>
    <w:p>
      <w:r>
        <w:t>- 6/7 -</w:t>
      </w:r>
    </w:p>
    <w:p>
      <w:r>
        <w:t>C/16864/2023 mentionné dans l'avis postal, sans présentation d'une pièce d'identité à l'agent chargé de notifier un pli adressé à une société anonyme. Par ailleurs, comme il n'a pas été retenu que la convocation à l'audience du Tribunal n'était pas valable, la recourante n'est pas fondée à se prévaloir de l'absence d'un rapport procédural; au contraire, après avoir reçu la convocation, qu'elle y ait ou non déféré, elle devait s'attendre à recevoir des communications judiciaires pendant la durée de la procédure.</w:t>
      </w:r>
    </w:p>
    <w:p>
      <w:r>
        <w:t>Le jugement attaqué a ainsi été valablement notifié.</w:t>
      </w:r>
    </w:p>
    <w:p>
      <w:r>
        <w:t>Par conséquent, les griefs de la recourante étant dépourvus de fondement, le recours sera rejeté.</w:t>
      </w:r>
    </w:p>
    <w:p>
      <w:r>
        <w:rPr>
          <w:b/>
        </w:rPr>
        <w:t>E. 4</w:t>
      </w:r>
    </w:p>
    <w:p>
      <w:r>
        <w:t>La recourante, qui succombe, supportera les frais de son recours (art. 106 al. 1 CPC), arrêtés à 220 fr. (art. 52, 61 OELP), compensés avec l'avance fournie, qui reste acquise à l'Etat de Genève (art. 111 al. 1 CPC). Il ne sera pas alloué de dépens à l'intimée, qui a procédé en personne et n'a pas fait valoir de démarches particulières (cf art. 95 al. 3 let. c CPC).</w:t>
      </w:r>
    </w:p>
    <w:p>
      <w:r>
        <w:t>* * * * *</w:t>
      </w:r>
    </w:p>
    <w:p>
      <w:r>
        <w:t>- 7/7 -</w:t>
      </w:r>
    </w:p>
    <w:p>
      <w:r>
        <w:t>C/16864/2023 PAR CES MOTIFS, La Chambre civile : A la forme : Déclare recevable le recours formé le 23 octobre 2023 par A______ SA contre le jugement JTPI/11445/2023 rendu le 5 octobre 2023 par le Tribunal de première instance dans la cause C/16864/2023–5 SFC. Au fond : Rejette ce recours, la faillite de A______ SA prenant effet le 5 février 2024 à 12 heures. Déboute les parties de toutes autres conclusions. Sur les frais : Arrête les frais du recours à 220 fr. compensés avec l'avance opérée, acquise à l'ETAT DE GENEVE. Les met à la charge de A______ SA.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