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ACJC/157/2023 vom 6. Februar 2023</w:t>
      </w:r>
    </w:p>
    <w:p>
      <w:r>
        <w:t>GE Cour de justice, 2023-02-06, FR</w:t>
      </w:r>
    </w:p>
    <w:p>
      <w:r>
        <w:rPr>
          <w:b/>
        </w:rPr>
        <w:t xml:space="preserve">Quelle: </w:t>
      </w:r>
      <w:r>
        <w:t>https://mcp.opencaselaw.ch/entscheid/ge_gerichte_ACJC_157_2023</w:t>
      </w:r>
    </w:p>
    <w:p>
      <w:r>
        <w:t>FR: GE_GERICHTE ACJC/157/2023 du 6 février 2023</w:t>
      </w:r>
    </w:p>
    <w:p>
      <w:r>
        <w:t>IT: GE_GERICHTE ACJC/157/2023 del 6 febbraio 2023</w:t>
      </w:r>
    </w:p>
    <w:p>
      <w:pPr>
        <w:pStyle w:val="Heading2"/>
      </w:pPr>
      <w:r>
        <w:t>Erwägungen</w:t>
      </w:r>
    </w:p>
    <w:p>
      <w:r>
        <w:rPr>
          <w:b/>
        </w:rPr>
        <w:t>E. 3</w:t>
      </w:r>
    </w:p>
    <w:p>
      <w:r>
        <w:t>Au vu de ce qui précède, il n'est pas nécessaire d'examiner la question de l'annulabilité du congé. De même, l'appelante sera déboutée de ses conclusions en évacuation, ce d'autant plus qu'elle n'explique pas en quoi le Tribunal aurait erré sur ce point.</w:t>
      </w:r>
    </w:p>
    <w:p>
      <w:r>
        <w:rPr>
          <w:b/>
        </w:rPr>
        <w:t>E. 4</w:t>
      </w:r>
    </w:p>
    <w:p>
      <w:r>
        <w:t>A teneur de l'art. 22 al. 1 LaCC, il n'est pas prélevé de frais dans les causes soumises à la juridiction des baux et loyers (ATF 139 III 182 consid. 2.6). * * * * *</w:t>
      </w:r>
    </w:p>
    <w:p>
      <w:r>
        <w:t>- 12/12 -</w:t>
      </w:r>
    </w:p>
    <w:p>
      <w:r>
        <w:t>C/13292/2020 PAR CES MOTIFS, La Chambre des baux et loyers : A la forme : Déclare recevable l'appel interjeté le 25 mai 2022 par A______ SA contre le jugement JTBL/297/2022 rendu le 26 avril 2022 par le Tribunal des baux et loyers dans la cause C/13292/2020-1-OSB. Au fond : Confirme le jugement entrepris.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