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ACJC/1579/2020 vom 3. November 2020</w:t>
      </w:r>
    </w:p>
    <w:p>
      <w:r>
        <w:t>GE Cour de justice, 2020-11-03, FR</w:t>
      </w:r>
    </w:p>
    <w:p>
      <w:r>
        <w:rPr>
          <w:b/>
        </w:rPr>
        <w:t xml:space="preserve">Quelle: </w:t>
      </w:r>
      <w:r>
        <w:t>https://mcp.opencaselaw.ch/entscheid/ge_gerichte_ACJC_1579_2020</w:t>
      </w:r>
    </w:p>
    <w:p>
      <w:r>
        <w:t>FR: GE_GERICHTE ACJC/1579/2020 du 3 novembre 2020</w:t>
      </w:r>
    </w:p>
    <w:p>
      <w:r>
        <w:t>IT: GE_GERICHTE ACJC/1579/2020 del 3 novembre 2020</w:t>
      </w:r>
    </w:p>
    <w:p>
      <w:pPr>
        <w:pStyle w:val="Heading2"/>
      </w:pPr>
      <w:r>
        <w:t>Erwägungen</w:t>
      </w:r>
    </w:p>
    <w:p>
      <w:r>
        <w:rPr>
          <w:b/>
        </w:rPr>
        <w:t>E. 1</w:t>
      </w:r>
    </w:p>
    <w:p>
      <w:r>
        <w:t>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en l'espèce recevable.</w:t>
      </w:r>
    </w:p>
    <w:p>
      <w:r>
        <w:rPr>
          <w:b/>
        </w:rPr>
        <w:t>E. 2</w:t>
      </w:r>
    </w:p>
    <w:p>
      <w:r>
        <w:t>Les parties ont produit des pièces nouvelles.</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"proprement dits", soit ceux intervenus après la décision de première instance (ATF 140 III 466 consid. 4.2.3; Message concernant la révision de la loi sur la poursuite pour dettes et la faillite du 8 mai 1991, FF 1991, p. 200;). Il n'a en revanche pas tranché la question de la recevabilité des pseudo-nova (ATF 140 III cité consid. 4.2.3 et arrêts cités). Selon la doctrine, les "pseudo-nova" devraient être limités à ceux que la partie ignorait sans faute ou négligence de sa part (CHAIX, Introduction au recours de la nouvelle procédure civile fédérale, in SJ 2009 II p. 267, cf. aussi arrêt du Tribunal fédéral 5P.296/2005 du 17 novembre 2005 consid. 4.2.1, selon lequel il n'est pas arbitraire de considérer que seuls les vrais nova sont recevables). La Cour de céans considère de même que les parties peuvent, à l'appui de pseudo-nova, offrir des preuves nouvelles, mais à condition que la partie qui s'en prévaut ait ignorés les faits en question sans faute, ne soit pas censée les connaître ou n'ait eu aucune raison de les invoquer plus tôt (ACJC/1050/2013 consid. 2.1; ACJC/1016/2010 consid. 4.1).</w:t>
      </w:r>
    </w:p>
    <w:p>
      <w:r>
        <w:rPr>
          <w:b/>
        </w:rPr>
        <w:t>E. 2.2</w:t>
      </w:r>
    </w:p>
    <w:p>
      <w:r>
        <w:t>En l'espèce, les pièces postérieures au 29 juin 2020, date de la dernière audience devant le Tribunal et à laquelle la cause a été gardée à juger sur opposition, sont à proprement parler nouvelles (vrais novas) et partant recevables. Il en a été tenu compte ci-dessus dans la mesure utile.</w:t>
      </w:r>
    </w:p>
    <w:p>
      <w:r>
        <w:t>- 7/11 -</w:t>
      </w:r>
    </w:p>
    <w:p>
      <w:r>
        <w:t>C/5616/2020 Les autres pièces figuraient déjà au dossier.</w:t>
      </w:r>
    </w:p>
    <w:p>
      <w:r>
        <w:rPr>
          <w:b/>
        </w:rPr>
        <w:t>E. 3</w:t>
      </w:r>
    </w:p>
    <w:p>
      <w:r>
        <w:t>Le recourant fait grief au Tribunal de ne pas avoir tenu compte de la subrogation légale en faveur du SPC concernant les contributions dues de novembre 2019 à mars 2020. La créance de l'intimée pour cette période ne serait pas vraisemblable, vu cette subrogation. Il reproche également au premier juge de ne pas avoir retenu qu'il avait rendu vraisemblable la cession de créance en paiement des dépens de l'intimée à son Conseil.</w:t>
      </w:r>
    </w:p>
    <w:p>
      <w:r>
        <w:rPr>
          <w:b/>
        </w:rPr>
        <w:t>E. 3.1</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w:t>
      </w:r>
    </w:p>
    <w:p>
      <w:r>
        <w:t>- 8/11 -</w:t>
      </w:r>
    </w:p>
    <w:p>
      <w:r>
        <w:t>C/5616/2020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w:t>
      </w:r>
    </w:p>
    <w:p>
      <w:r>
        <w:rPr>
          <w:b/>
        </w:rPr>
        <w:t>E. 3.1.2</w:t>
      </w:r>
    </w:p>
    <w:p>
      <w:r>
        <w:t>Aux termes de l'art. 80 al. 1 LP, le créancier qui est au bénéfice d'un jugement exécutoire peut requérir du juge la mainlevée définitive de l'opposition. Pour qu'une décision constitue un titre de mainlevée, les trois identités suivantes doivent être réunies: identité entre le poursuivant et le créancier désigné dans ce titre, identité entre le poursuivi et le débiteur désigné et identité entre la prétention déduite en poursuite et le titre qui lui est présenté. Ces identités sont examinées d'office par le juge de la mainlevée (ABBET/VEUILLET, La mainlevée de l'opposition, n. 76 ad art. 80 LP). Lorsque la poursuite est fondée sur un titre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Lorsque la poursuite est fondée sur un titre authentique exécutoire, le débiteur poursuivi ne peut opposer à son obligation que des objections qu'il peut prouver immédiatement (art. 81 al. 1 et 2 LP).</w:t>
      </w:r>
    </w:p>
    <w:p>
      <w:r>
        <w:rPr>
          <w:b/>
        </w:rPr>
        <w:t>E. 3.1.3</w:t>
      </w:r>
    </w:p>
    <w:p>
      <w:r>
        <w:t>Le tiers qui paie le créancier est légalement subrogé, jusqu'à due concurrence, aux droits de ce dernier, lorsque le créancier a été prévenu par le débiteur que le tiers qui le paie doit prendre sa place (art. 110 ch. 2 CO). La subrogation est un cas particulier de cession légale de créance (art. 166 CO). Il suffit que le tiers ait désintéressé le créancier dans les conditions prévues par l'art. 110 CO pour que la créance lui soit transférée de par la loi (cessio legis) (TEVINI, CR CO I, 2012, art. 110 N 3). Lorsque la cession s'opère en vertu de la loi ou d'un jugement, elle est opposable aux tiers sans aucune formalité et même indépendamment de toute manifestation de volonté de la part du précédent créancier (art. 166 CO). Par la cession légale (Legalzession) on entend le transfert d'une créance intervenant directement en vertu de la loi, à savoir ipso iure. La subrogation (Subrogation) est un cas d'application d'une cession légale qui se caractérise par le fait particulier que la créance est transférée à un tiers (cessionnaire) suite à l'accomplissement de son obligation qui lui incombe en tant que débiteur envers le créancier (PROBST, CR CO I, 2012, art. 166 N 3).</w:t>
      </w:r>
    </w:p>
    <w:p>
      <w:r>
        <w:t>- 9/11 -</w:t>
      </w:r>
    </w:p>
    <w:p>
      <w:r>
        <w:t>C/5616/2020 L'attribution des prestations est subordonnée au choix du service, à la cession à l'Etat des droits nés en faveur de l'intéressé par le fait de l'âge, d'un accident, d'une maladie, d'un décès ou de toute autre cause, s'il ne s'agit pas de droits légalement incessibles (art. 23 al. 1 let. a de la loi cantonale sur les prestations cantonales complémentaires du 25 octobre 1968 [LPCC - J 4 25]).</w:t>
      </w:r>
    </w:p>
    <w:p>
      <w:r>
        <w:t>Les prestations indûment touchées doivent être restituées. La restitution ne peut être exigée lorsque l'intéressé était de bonne foi et qu'elle le mettrait dans une situation difficile (art. 24 LPCC). La prétention à la contribution d'entretien passe avec tous les droits qui lui sont rattachés à la collectivité publique lorsque celle-ci assume l'entretien de l'enfant (art. 289 al. 2 CC). La collectivité publique qui exerce la subrogation procède, à due concurrence, en qualité de cessionnaire des contributions d'entretien dues aux enfants, en application de l'art. 289 al. 2 CC. Elle devient donc créancière des prétentions d'entretien par subrogation légale (art. 166 CO) dès qu'elle assume tout ou partie des frais d'entretien de l'enfant (PERRIN, CR CC I, 2010, art. 289 N 8).</w:t>
      </w:r>
    </w:p>
    <w:p>
      <w:r>
        <w:rPr>
          <w:b/>
        </w:rPr>
        <w:t>E. 3.1.4</w:t>
      </w:r>
    </w:p>
    <w:p>
      <w:r>
        <w:t>La cession n'est valable que si elle a été constatée par écrit (art. 165 al. 1 CO). 3.2.1 En l'espèce, il est constant que l'intimée est au bénéfice d'un jugement exécutoire lui reconnaissant le droit à percevoir du recourant une contribution d'entretien de 2'488 fr. par mois dès le 1er novembre 2019, ainsi que des dépens en 15'000 fr. Il est également établi que l'intimée a touché des prestations du SPC de novembre 2019 à mars 2020 et que le recourant ne s'est pas acquitté des contributions dues. La créance de l'intimée fondant le séquestre paraît ainsi vraisemblable. L'objection du recourant s'agissant de la créance en paiement de contributions d'entretien, tirée de l'absence de légitimation active de l'intimée à faire valoir la créance précitée du fait d'une subrogation légale en faveur du SPC repose sur des pièces contradictoires. En effet, d'une part, la décision du SPC du 12 juin 2020 est motivée par la prétendue perception par l'intimée des contributions arrêtées par l'arrêt de la Cour, alors que tel n'est pas le cas. Le dossier ne contient aucun élément sur l'existence d'un éventuel recours contre la décision du SPC. Ainsi, à teneur du dossier, l'intimée est tenue de rembourser au SPC les prestations perçues de novembre 2019 à mars 2020 à concurrence de 19'912 fr.</w:t>
      </w:r>
    </w:p>
    <w:p>
      <w:r>
        <w:t>- 10/11 -</w:t>
      </w:r>
    </w:p>
    <w:p>
      <w:r>
        <w:t>C/5616/2020 D'autre part, il ressort du courrier du SPC du 24 juin 2020 à A______, que ce Service souhaitait être subrogé dans les droits de l'intimée, et invitait le recourant à lui payer le montant de 19'912 fr., dont il avait pourtant retenu dans sa décision du 12 juin 2020 qu'il avait déjà été versé à l'intimée. Il résulte de ce qui précède une incertitude quant au créancier des contributions dues de novembre 2019 à mars 2020, à savoir l'intimée ou le SPC. Il n'est pas rendu vraisemblable que ce dernier ait été subrogé dans les droits de l'intimée, avant d'avoir encaissé le montant que le recourant s'est engagé à lui payer. Aucun argument ne peut être tiré à cet égard de l'art. 289 al. 2 CC qui concerne les contributions dues à l'entretien de l'enfant, et non du conjoint. Dans son courrier du 8 juillet 2020, le Conseil de l'intimée "part du principe" que le recourant remboursera le SPC. Contrairement à ce que celui-ci tente de soutenir, il n'admet pas sans condition une subrogation du SPC aux droits de sa mandante. Au vu des considérations qui précèdent, c'est à bon droit que le Tribunal a considéré que la créance de l'intimée était vraisemblable, et que le recourant n'avait pas rendu suffisamment vraisemblable que le SPC était subrogé dans les droits de celle-ci en paiement des contributions dues de novembre 2019 à mars 2020. 3.2.2 La créance de l'intimée en paiement des dépens de 15'000 fr. ressort du jugement du Tribunal du 25 juin 2019 et de l'arrêt de la Cour du 18 février 2020, soit d'une décision exécutoire et entrée en force. La cession alléguée par le recourant pour s'opposer à cette créance ne se fonde sur aucun titre mais repose sur de simples conjectures. La prétendue cession par l'intimée à son conseil de sa créance en dépens de 15'000 fr., au motif que celui-ci se serait acquitté du remboursement des frais judiciaires de 1'725 fr. auprès de l'Assistance juridique ne repose sur aucune pièce et est à tout le moins insuffisante à rendre vraisemblable l'absence de légitimation active de l'intimée en paiement de dépens. En conséquence, c'est à bon droit que le séquestre a été ordonné s'agissant de cette créance en paiement des dépens. 3.2.3 Au vu des considérations qui précèdent, le recours sera entièrement rejeté.</w:t>
      </w:r>
    </w:p>
    <w:p>
      <w:r>
        <w:rPr>
          <w:b/>
        </w:rPr>
        <w:t>E. 4</w:t>
      </w:r>
    </w:p>
    <w:p>
      <w:r>
        <w:t>Le recourant qui succombe, sera condamné aux frais du recours, arrêtés à 600 fr. (art. 48 et 61 OELP), compensés avec l'avance fournie, acquise à l'Etat (art. 111 al. 1 CPC).</w:t>
      </w:r>
    </w:p>
    <w:p>
      <w:r>
        <w:t>Il sera en outre condamné à verser à l'intimée 1'500 fr. à titre de dépens de recours, débours et TVA inclus (art. 84, 85, 88 et 90 RTFMC; art. 23, 25 et 26 LaCC). * * * * *</w:t>
      </w:r>
    </w:p>
    <w:p>
      <w:r>
        <w:t>- 11/11 -</w:t>
      </w:r>
    </w:p>
    <w:p>
      <w:r>
        <w:t>C/5616/2020 PAR CES MOTIFS, La Chambre civile : A la forme : Déclare recevable lele recours interjeté le 20 juillet 2020 par A______ contre le jugement OSQ/23/2020 rendu le 3 juillet 2020 par le Tribunal de première instance dans la cause C/5616/2020-16 SQP. Au fond : Le rejette. Déboute les parties de toutes autres conclusions de recours. Sur les frais : Arrête les frais judiciaires du recours à 600 fr., compensés avec l'avance fournie acquise à l'Etat de Genève, et les met à la charge de A______. Condamne A______ à verser à B______ 1'500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