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ACJC/1578/2015 vom 18. Dezember 2015</w:t>
      </w:r>
    </w:p>
    <w:p>
      <w:r>
        <w:t>GE Cour de justice, 2015-12-18, FR</w:t>
      </w:r>
    </w:p>
    <w:p>
      <w:r>
        <w:rPr>
          <w:b/>
        </w:rPr>
        <w:t xml:space="preserve">Quelle: </w:t>
      </w:r>
      <w:r>
        <w:t>https://mcp.opencaselaw.ch/entscheid/ge_gerichte_ACJC_1578_2015</w:t>
      </w:r>
    </w:p>
    <w:p>
      <w:r>
        <w:t>FR: GE_GERICHTE ACJC/1578/2015 du 18 décembre 2015</w:t>
      </w:r>
    </w:p>
    <w:p>
      <w:r>
        <w:t>IT: GE_GERICHTE ACJC/1578/2015 del 18 dicembre 2015</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tant sur des questions non patrimoniales, telles que l'instauration d'une curatelle d'organisation et de surveillance du droit de visite,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Interjeté dans le délai de dix jours (art. 271 et 314 al. 1 CPC) et selon la forme prescrite par la loi (art. 130, 131, 252 et 311 CPC), l'appel est recevable.</w:t>
      </w:r>
    </w:p>
    <w:p>
      <w:r>
        <w:rPr>
          <w:b/>
        </w:rPr>
        <w:t>E. 2</w:t>
      </w:r>
    </w:p>
    <w:p>
      <w:r>
        <w:t>L'intimé étant de nationalité étrangère,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w:t>
      </w:r>
    </w:p>
    <w:p>
      <w:r>
        <w:rPr>
          <w:b/>
        </w:rPr>
        <w:t>E. 3</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w:t>
      </w:r>
    </w:p>
    <w:p>
      <w:r>
        <w:t>- 5/9 -</w:t>
      </w:r>
    </w:p>
    <w:p>
      <w:r>
        <w:t>C/5988/2015 128 III 411 consid. 3.2.2; arrêt du Tribunal fédéral 5A_132/2014 du 20 juin 2014 consid. 3.1.3).</w:t>
      </w:r>
    </w:p>
    <w:p>
      <w:r>
        <w:rPr>
          <w:b/>
        </w:rPr>
        <w:t>E. 4.1</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4.2</w:t>
      </w:r>
    </w:p>
    <w:p>
      <w:r>
        <w:t>En l'espèce, les pièces versées par l'appelante devant la Cour sont relatives aux relations entre les parties, faits pertinents pour statuer sur les droits parentaux relatifs à l'enfant, de sorte qu'elles sont recevables.</w:t>
      </w:r>
    </w:p>
    <w:p>
      <w:r>
        <w:rPr>
          <w:b/>
        </w:rPr>
        <w:t>E. 5</w:t>
      </w:r>
    </w:p>
    <w:p>
      <w:r>
        <w:t>L'appelante a conclu à la garde partagée pour le cas où elle n'obtiendrait pas la contribution d'entretien de 1'000 fr. par mois qu'elle réclame pour l'enfant.</w:t>
      </w:r>
    </w:p>
    <w:p>
      <w:r>
        <w:rPr>
          <w:b/>
        </w:rPr>
        <w:t>E. 5.1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114 II 200 consid. 5a).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Dans ce cadre, le juge doit examiner, nonobstant et indépendamment de l'accord des</w:t>
      </w:r>
    </w:p>
    <w:p>
      <w:r>
        <w:t>- 6/9 -</w:t>
      </w:r>
    </w:p>
    <w:p>
      <w:r>
        <w:t>C/5988/2015 parents, s'il est compatible avec le bien de l'enfant, ce qui dépend essentiellement des circonstances du cas particulier, telles que l'âge de l'enfant, la proximité des logements parentaux entre eux et avec l'école, ainsi que la capacité de coopération des parents (arrêts du Tribunal fédéral 5A_46/2015 du 26 mai 2015 consid. 4.4.5; 5A_345/2014 du 4 août 2014 consid. 4.2 et 5A_928/2014 du 26 février 2015 consid. 4.3). On ne décidera donc d'une garde alternée ou partagée que si celle-ci est la meilleure solution pour le bien de l'enfant (arrêt du Tribunal fédéral 5A_46/2015 du 26 mai 2015 consid. 4.4.3; Message du Conseil fédéral du 16 novembre 2011 concernant une modification du Code civil suisse [Autorité parentale], FF 2011 8315 ss, ch. 1.5.2.).</w:t>
      </w:r>
    </w:p>
    <w:p>
      <w:r>
        <w:rPr>
          <w:b/>
        </w:rPr>
        <w:t>E. 5.2</w:t>
      </w:r>
    </w:p>
    <w:p>
      <w:r>
        <w:t>En l'espèce, l'enfant vient d'atteindre sa première année et n'a jamais vécu avec son père. Ce dernier ne sollicite pas sa garde et serait d'ailleurs bien en peine d'exercer une garde partagée dès lors qu'il travaille de nuit, ce qui impliquerait qu'il trouve un système de garde pour l'enfant qui ne serait pas dans l'intérêt de ce dernier. Pour sa part, la mère n'exerce pas d'activité lucrative, de sorte qu'elle dispose du temps nécessaire pour s'occuper de l'enfant et ses capacités parentales ne sont pas contestées. Au vu de ce qui précède, la garde partagée souhaitée par l'appelante n'est pas dans l'intérêt de l'enfant. Dès lors, le jugement sera confirmé en tant qu'il attribue la garde de celui-ci à sa mère.</w:t>
      </w:r>
    </w:p>
    <w:p>
      <w:r>
        <w:rPr>
          <w:b/>
        </w:rPr>
        <w:t>E. 6</w:t>
      </w:r>
    </w:p>
    <w:p>
      <w:r>
        <w:t>Les deux parties réclament l'instauration d'une curatelle d'organisation et de surveillance du droit de visite.</w:t>
      </w:r>
    </w:p>
    <w:p>
      <w:r>
        <w:rPr>
          <w:b/>
        </w:rPr>
        <w:t>E. 6.1</w:t>
      </w:r>
    </w:p>
    <w:p>
      <w:r>
        <w:t>L'une des mesures de protection de l'enfant prévues par les art. 307 et ss CC est la curatelle de surveillance du droit de visite visée par l'art. 308 al. 2 CC. Une curatelle de surveillance des relations personnelles devrait toujours être instituée quand il y a un grave danger que des difficultés surgissent dans l'exercice du droit de visite de la part de l'époux auquel l'autorité parentale n'a pas été confiée. En cas de divorce ou de séparation, il subsiste souvent une situation de conflit entre les conjoints, situation qu'un curateur, par des contacts appropriés avec les parents et avec les enfants peut contribuer, dans une mesure importante, à désamorcer (ATF 108 II 372 = JdT 1984 I 612 consid. 1).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w:t>
      </w:r>
    </w:p>
    <w:p>
      <w:r>
        <w:rPr>
          <w:b/>
        </w:rPr>
        <w:t>E. 6.2</w:t>
      </w:r>
    </w:p>
    <w:p>
      <w:r>
        <w:t>En l'espèce, la situation entre les parties est conflictuelle en raison notamment de violences conjugales antérieures et les parents rencontrent des difficultés dans l'établissement du calendrier des visites. L'enfant étant en très bas âge, il convient de veiller à ce que les relations personnelles entre le père et l'enfant soient en adéquation avec le besoin de l'enfant de stabilité et de régularité et qu'elles s'organisent comme prévu. L'instauration d'une curatelle d'organisation et de surveillance du droit de visite est dès lors justifiée compte tenu des difficultés de communication entre les parents. Les parents ayant, en outre, déclaré être d'accord avec la mise en place d'une curatelle d'organisation et de surveillance, cette mesure sera prononcée. 7. L'appelante reproche au Tribunal d'avoir fixé la contribution d'entretien à 500 fr. par mois, ce qui lui parait insuffisant, et de ne pas avoir tenu compte des frais de garde de l'enfant.</w:t>
      </w:r>
    </w:p>
    <w:p>
      <w:r>
        <w:t>7.1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7.2 En l'espèce, les revenus et les charges des parties ne sont, à juste titre, pas remises en cause en appel, ceux-ci étant dûment documentés et correctement établis. Les charges retenues par le premier juge pour l'enfant arrêtées, à 711 fr. et comprenant notamment une participation au loyer de sa mère, ne sont pas critiquables. Même en ajoutant les frais de garde de 384 fr. par mois allégués par l'appelante, les frais mensuels de l'enfant s'élèveraient à 1'095 fr. Compte tenu du versement d'une contribution d'entretien de 500 fr. par mois, l'appelante, qui perçoit mensuellement une rente complémentaire AI pour enfant de 601 fr. et des allocations familiales de 300 fr., dispose d'une somme totale de 1'401 fr. pour couvrir l'ensemble des charges de l'enfant, lui laissant même un solde de 306 fr. Au vu de ce qui précède, il ne se justifie pas de condamner l'intimé à verser une contribution d'entretien supérieure à celle qu'il propose.</w:t>
      </w:r>
    </w:p>
    <w:p>
      <w:r>
        <w:t>- 8/9 -</w:t>
      </w:r>
    </w:p>
    <w:p>
      <w:r>
        <w:t>C/5988/2015 Le jugement sera donc confirmé.</w:t>
      </w:r>
    </w:p>
    <w:p>
      <w:r>
        <w:rPr>
          <w:b/>
        </w:rPr>
        <w:t>E. 8</w:t>
      </w:r>
    </w:p>
    <w:p>
      <w:r>
        <w:t>Les frais judiciaires de l'appel seront fixés à 300 fr. (art. 96, 104 al. 1, 105 et 106 CPC; art. 31 et 37 RTFMC) et mis à charge de l'appelante qui succombe. Ils seront entièrement compensés avec l'avance de 800 fr. fournie par l'appelante (art. 111 al. 1 CPC). Il sera ordonné aux Services financiers du Pouvoir judiciaire de restituer 500 fr. à l'appelante. Pour des motifs d'équité liés à la nature du litige, les parties conserveront leurs propres dépens à leur charge (art. 95 al. 1 let. b et al. 3, 104 al. 1, 105 al. 2 et 107 al. 1 let. c CPC).</w:t>
      </w:r>
    </w:p>
    <w:p>
      <w:r>
        <w:rPr>
          <w:b/>
        </w:rPr>
        <w:t>E. 9</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- 9/9 -</w:t>
      </w:r>
    </w:p>
    <w:p>
      <w:r>
        <w:t>C/5988/2015 PAR CES MOTIFS, La Chambre civile : A la forme : Déclare recevable l'appel interjeté par A______ contre les chiffres 2 à 4 du jugement JTPI/8822/2015 rendu le 5 août 2015 par le Tribunal de première instance dans la cause C/5988/2015-9. Au fond : Ordonne la mise en place d'une mesure de curatelle d'organisation et de surveillance des relations personnelles entre B______ et sa fille C______. Transmet la cause au Tribunal de protection de l'adulte et de l'enfant pour qu'il désigne le curateur et l'instruise de sa mission. Dit que les éventuels frais de curatelle sont répartis par moitié entre les parties. Confirme le jugement pour le surplus. Déboute les parties de toutes autres conclusions. Sur les frais : Arrête les frais judiciaires d'appel à 300 fr., les met à la charge de A______ et les compense avec l'avance de frais, qui reste acquise à due concurrence à l'Etat de Genève. Ordonne aux Services financiers du Pouvoir judiciaire de restituer 500 fr. à A______. Dit que chaque partie supporte ses propres dépens d'appel. Siégeant : Madame Florence KRAUSKOPF, présidente; Madame Sylvie DROIN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