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ACJC/1577/2023 vom 30. November 2023</w:t>
      </w:r>
    </w:p>
    <w:p>
      <w:r>
        <w:t>GE Cour de justice, 2023-11-30, FR</w:t>
      </w:r>
    </w:p>
    <w:p>
      <w:r>
        <w:rPr>
          <w:b/>
        </w:rPr>
        <w:t xml:space="preserve">Quelle: </w:t>
      </w:r>
      <w:r>
        <w:t>https://mcp.opencaselaw.ch/entscheid/ge_gerichte_ACJC_1577_2023</w:t>
      </w:r>
    </w:p>
    <w:p>
      <w:r>
        <w:t>FR: GE_GERICHTE ACJC/1577/2023 du 30 novembre 2023</w:t>
      </w:r>
    </w:p>
    <w:p>
      <w:r>
        <w:t>IT: GE_GERICHTE ACJC/1577/2023 del 30 novembre 2023</w:t>
      </w:r>
    </w:p>
    <w:p>
      <w:pPr>
        <w:pStyle w:val="Heading2"/>
      </w:pPr>
      <w:r>
        <w:t>Erwägungen</w:t>
      </w:r>
    </w:p>
    <w:p>
      <w:r>
        <w:rPr>
          <w:b/>
        </w:rPr>
        <w:t>E. 1.1</w:t>
      </w:r>
    </w:p>
    <w:p>
      <w:r>
        <w:t>Les jugements finaux rendus par le Tribunal de première instance dans une affaire patrimoniale dont la valeur litigieuse est, au dernier état des conclusions devant l'autorité inférieure, de 10'000 fr. au moins sont susceptibles de faire l'objet d'un appel écrit et motivé auprès de la Chambre civile de la Cour de justice dans un délai de 30 jours à compter de leur notification (art. 308 et 311 CPC; art. 120 al. 1 let. a LOJ). Selon la jurisprudence, pour satisfaire à son obligation de motivation de l'appel,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(ATF 141 III 69 consid. 2.3.3). Comme tous les actes de procédure, l'appel doit être interprété selon les règles de la bonne foi (arrêt du Tribunal fédéral 5A_268/2022 du 18 mai 2022 consid. 4).</w:t>
      </w:r>
    </w:p>
    <w:p>
      <w:r>
        <w:rPr>
          <w:b/>
        </w:rPr>
        <w:t>E. 1.2</w:t>
      </w:r>
    </w:p>
    <w:p>
      <w:r>
        <w:t>En l'espèce, l'appel a été interjeté auprès de l'autorité compétente, dans le délai utile de 30 jours et selon la forme prescrite par la loi à l'encontre d'un jugement final rendu dans une affaire patrimoniale dont la valeur litigieuse est, compte tenu des prétentions invoquées en première instance, supérieure à 10'000 fr. Il est de ce point de vue recevable.</w:t>
      </w:r>
    </w:p>
    <w:p>
      <w:r>
        <w:t>- 10/19 -</w:t>
      </w:r>
    </w:p>
    <w:p>
      <w:r>
        <w:t>C/4897/2019 Certes, l’appel contient un renvoi aux faits exposés dans les écritures de première instance, ce qui n’est pas conforme à l'exigence de motivation de l'art. 311 al. 1 CPC. Néanmoins, il mentionne quels aspects du jugement querellé sont contestés, les faits qui n'auraient pas correctement été établis, les dispositions légales qui auraient été violées et les raisons pour lesquelles elles auraient été violées. Contrairement à ce que soutient l'intimée, l'appel est ainsi rédigé de manière suffisamment explicite pour permettre à celle-ci de le comprendre et de se déterminer. Il est ainsi suffisamment motivé, étant toutefois précisé que seuls seront pris en considération les arguments exposés avec une précision suffisante. La recevabilité de l’appel sera par conséquent admise.</w:t>
      </w:r>
    </w:p>
    <w:p>
      <w:r>
        <w:rPr>
          <w:b/>
        </w:rPr>
        <w:t>E. 1.3</w:t>
      </w:r>
    </w:p>
    <w:p>
      <w:r>
        <w:t>La maxime des débats et le principe de disposition sont applicables (art. 55 al. 1 et 58 al. 1 CPC).</w:t>
      </w:r>
    </w:p>
    <w:p>
      <w:r>
        <w:rPr>
          <w:b/>
        </w:rPr>
        <w:t>E. 1.4</w:t>
      </w:r>
    </w:p>
    <w:p>
      <w:r>
        <w:t>La Cour revoit la cause avec un plein pouvoir d'examen (art. 310 CPC). En particulier, elle contrôle librement l'appréciation des preuves effectuée par le juge de première instance (art. 157 CPC en relation avec l'art. 310 let. b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l’échange de courriels du 29 juin 2022 est intervenu après le prononcé du jugement entrepris. L’appelant a fait preuve de la diligence requise en le produisant avec son appel, de sorte cette pièce nouvelle est recevable.</w:t>
      </w:r>
    </w:p>
    <w:p>
      <w:r>
        <w:rPr>
          <w:b/>
        </w:rPr>
        <w:t>E. 3</w:t>
      </w:r>
    </w:p>
    <w:p>
      <w:r>
        <w:t>L’appelant sollicite, à titre préalable, qu’une expertise soit ordonnée pour établir que le système "VOR" de sa partie adverse lui permettait de connaître la sinistralité de son assuré.</w:t>
      </w:r>
    </w:p>
    <w:p>
      <w:r>
        <w:rPr>
          <w:b/>
        </w:rPr>
        <w:t>E. 3.1</w:t>
      </w:r>
    </w:p>
    <w:p>
      <w:r>
        <w:t>Selon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ou encore, en</w:t>
      </w:r>
    </w:p>
    <w:p>
      <w:r>
        <w:t>- 11/19 -</w:t>
      </w:r>
    </w:p>
    <w:p>
      <w:r>
        <w:t>C/4897/2019 vertu du principe de la bonne foi (art. 52 CPC), si la partie a renoncé à l'administration d'un moyen de preuve régulièrement offert en première instance, notamment en ne s'opposant pas à la clôture de la procédure probatoire (ATF 138 III 374 consid. 4.3).</w:t>
      </w:r>
    </w:p>
    <w:p>
      <w:r>
        <w:rPr>
          <w:b/>
        </w:rPr>
        <w:t>E. 3.2</w:t>
      </w:r>
    </w:p>
    <w:p>
      <w:r>
        <w:t>En l'espèce, l’appelant a expressément renoncé à requérir une expertise lors de l’audience du 10 novembre 2020. Il n’a par la suite plus évoqué la nécessité d’une telle offre de preuve, déclarant même, dans ses plaidoiries du 16 novembre 2021, que l’accès, par le système "VOR", à la liste des sinistres survenus auprès d’assureurs tiers était un fait notoire. Les conclusions, prises en appel, visant à ordonner une expertise seront ainsi rejetées.</w:t>
      </w:r>
    </w:p>
    <w:p>
      <w:r>
        <w:rPr>
          <w:b/>
        </w:rPr>
        <w:t>E. 4</w:t>
      </w:r>
    </w:p>
    <w:p>
      <w:r>
        <w:t>L’intimée conclut à l’irrecevabilité des écritures déposées par sa partie adverse devant le Tribunal les 10 novembre 2020 et 24 février 2022. Dans le jugement entrepris, le Tribunal a admis leur recevabilité malgré leur tardiveté, au motif qu’il convenait d’éviter un formalisme excessif pour les premières et au vu des raisons médicales invoquées par le conseil de l’appelant pour les secondes.</w:t>
      </w:r>
    </w:p>
    <w:p>
      <w:r>
        <w:rPr>
          <w:b/>
        </w:rPr>
        <w:t>E. 4.1</w:t>
      </w:r>
    </w:p>
    <w:p>
      <w:r>
        <w:t>En vertu des art. 221 al. 1 let. d et 222 al. 2 CPC, les faits pertinents doivent être allégués en principe dans la demande, respectivement dans la réponse.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519 consid. 5.2.1.1). Après la clôture de la phase d'allégation, la présentation de nova n'est plus possible qu'aux conditions restrictives de l'art. 229 al. 1 CPC (arrêt du Tribunal fédéral 4A_70/2019 du 6 août 2019 consid. 2.5.2 publié aux ATF 146 III 55).</w:t>
      </w:r>
    </w:p>
    <w:p>
      <w:r>
        <w:rPr>
          <w:b/>
        </w:rPr>
        <w:t>E. 4.2</w:t>
      </w:r>
    </w:p>
    <w:p>
      <w:r>
        <w:t>En l’espèce, les éléments contenus dans les écritures du 10 novembre 2020 n’ont pas été invoqués avant les premières plaidoiries, de sorte qu’ils sont a priori irrecevables. En tout état de cause, ces derniers ne comportent aucun fait nouveau s’agissant de la réticence dont s’est prévalue l’assurance, l’assuré ayant déjà allégué, dans sa demande en paiement, que l’assurance avait ou aurait dû connaître sa sinistralité lors des pourparlers. L’intimée, qui conclut à l’irrecevabilité de ces écritures, n’en tire d’ailleurs aucune conséquence au niveau de l’établissement des faits. Si elle soutient que les allégués contenus dans sa réponse du 27 mars 2020 devraient être admis faute de contestation, elle ne précise néanmoins pas quels seraient les faits pertinents concernés. L’admission des écritures du 10 novembre 2020 n’aurait donc aucune incidence sur l’issue du litige.</w:t>
      </w:r>
    </w:p>
    <w:p>
      <w:r>
        <w:t>- 12/19 -</w:t>
      </w:r>
    </w:p>
    <w:p>
      <w:r>
        <w:t>C/4897/2019 La question de la recevabilité de la réplique du 24 février 2022 peut par ailleurs rester indécise, puisque celle-ci ne contient, elle non plus, pas de fait nouveau pouvant influer sur le sort de la cause, l’intimée n’en précisant aucun.</w:t>
      </w:r>
    </w:p>
    <w:p>
      <w:r>
        <w:rPr>
          <w:b/>
        </w:rPr>
        <w:t>E. 5</w:t>
      </w:r>
    </w:p>
    <w:p>
      <w:r>
        <w:t>5.1.1. Le rapport juridique liant les parties étant un contrat d'assurance, le droit suisse qui régit cette matière est la loi fédérale sur le contrat d'assurance (LCA) et, à titre subsidiaire, le droit des obligations (CO ; art. 100 al. 1 LCA).</w:t>
      </w:r>
    </w:p>
    <w:p>
      <w:r>
        <w:t>La révision partielle de la LCA est entrée en vigueur le 1er janvier 2022. Le message du Conseil fédéral du 28 juin 2017 concernant cette révision indique que seules les prescriptions en matière de forme et le droit de résiliation s’appliquent aux contrats d’assurance en cours dès l’entrée en vigueur de la loi. Les autres dispositions introduites par la révision s’appliquent seulement aux nouveaux contrats (FF 2017 4767, spéc. 4812; cf. art. 103a LCA).</w:t>
      </w:r>
    </w:p>
    <w:p>
      <w:r>
        <w:t>5.1.2. La réticence se définit comme l'omission de déclarer, ou le fait de déclarer inexactement, lors de la conclusion du contrat, un fait important que celui ayant l'obligation de déclarer connaissait ou devait connaître (art. 6 al. 1 aLCA, dans sa teneur antérieure au 1er janvier 2022, ici déterminante). Cette notion renvoie aux déclarations obligatoires imposées par l'art. 4 aLCA. Selon l'alinéa 1 de cette disposition, celui qui présente une proposition d'assurance doit déclarer par écrit à l'assureur, suivant un questionnaire ou en réponse à toutes autres questions écrites, tous les faits qui sont importants pour l'appréciation du risque, tels qu'ils lui sont ou doivent lui être connus lors de la conclusion du contrat. La question posée doit être précise et non équivoque (cf. art. 4 al. 3 i.f. aLCA; ATF 136 III 334 consid. 2.3; 134 III 511 consid. 3.3.4; arrêt du Tribunal fédéral 4A_555/2019 du 28 août 2020 consid. 2). Le proposant doit répondre de manière véridique aux questions telles qu'il peut les comprendre de bonne foi. (ATF 136 III 334 consid. 2.3; arrêt du Tribunal fédéral 4A_288/2022 du 1er juin 2023 consid. 3).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(ATF 136 III 334 consid. 2.3). D'un point de vue subjectif, la réticence suppose que le proposant connaissait ou aurait dû connaître la vérité. Le proposant doit déclarer non seulement les faits qui lui sont connus sans autre réflexion, mais aussi ceux qui ne peuvent lui échapper s'il réfléchit sérieusement à la question posée (ATF 136 III 334 consid. 2.3; 134 III 511 consid. 3.3.3; arrêt du Tribunal fédéral 4A_555/2019 du 28 août 2020 consid. 2). Il faut en plus que la réponse inexacte porte sur un fait important pour l'appréciation du risque (art. 4 al. 1 et art. 6 al. 1 aLCA). Sont importants tous les faits de nature à influer sur la détermination de l'assureur de conclure le contrat ou de le conclure aux conditions convenues (art. 4 al. 2 aLCA). L'art. 4 al. 3 aLCA</w:t>
      </w:r>
    </w:p>
    <w:p>
      <w:r>
        <w:t>- 13/19 -</w:t>
      </w:r>
    </w:p>
    <w:p>
      <w:r>
        <w:t>C/4897/2019 présume que le fait est important s'il a fait l'objet d'une question écrite de l'assureur, précise et non équivoque. Une telle présomption peut cependant être renversée. Ce n'est certes pas au proposant de déterminer à la place de l'assureur quels sont les éléments pertinents pour apprécier le risque, mais il pourra renverser la présomption en démontrant qu'il a omis un fait objectivement insignifiant (ATF 136 III 334 consid. 2.4 et les arrêts cités; 134 III 511 consid. 3.3.4; arrêt du Tribunal fédéral 4A_288/2022 du 1er juin 2023 consid. 3). En tenant compte de toutes les circonstances du cas concret et en se livrant à une appréciation objective fondée sur le principe de la bonne foi, il faut se demander si l'assureur, dans l'hypothèse où la vérité lui aurait été dite, n'aurait pas conclu le contrat, ou ne l'aurait pas conclu aux mêmes conditions (ATF 136 III 334 consid. 2.4; arrêt du Tribunal fédéral 4A_150/2015 du 29 octobre 2015, consid. 4). En cas de réticence, l'assureur est en droit de résilier le contrat (art. 6 al. 1 aLCA); s'il exerce ce droit, il est autorisé à refuser également sa prestation pour les sinistres déjà survenus lorsque le fait qui a été l'objet de la réticence a influé sur leur survenance ou leur étendue (art. 6 al. 3 LCA). Le droit de résilier s'éteint quatre semaines après que l'assureur a eu connaissance de la réticence (art. 6 al. 2 LCA). La résiliation due à la réticence doit être motivée avec précision: la déclaration de résiliation doit mentionner la question qui a reçu une réponse inexacte et préciser de façon circonstanciée en quoi consiste le fait important non déclaré ou inexactement déclaré (ATF 129 III 713 consid. 2.1; arrêt du Tribunal fédéral 4A_376/2014 du 27 avril 2015 consid. 2.3.1).</w:t>
      </w:r>
    </w:p>
    <w:p>
      <w:r>
        <w:rPr>
          <w:b/>
        </w:rPr>
        <w:t>E. 5.2</w:t>
      </w:r>
    </w:p>
    <w:p>
      <w:r>
        <w:t>En l’espèce, le Tribunal a retenu qu'au cours des cinq années ayant précédé la conclusion de la police d'assurance litigieuse, l’appelant avait vu l'une de ses polices d'assurance auprès de J______ assainie en raison de la fréquence des sinistres, qu'il avait déclaré une collision avec un autre véhicule à moteur et un dommage de parcage alors qu'il était assuré auprès de cette même assurance, et qu'il s'était fait voler un véhicule assuré auprès de I______. Les réponses qu’il avait ainsi données aux questions n° 2, n° 4 et n° 6 de la proposition d'assurance du 9 août 2016 n'étaient pas conformes à la vérité, puisqu'il avait omis de déclarer un assainissement de police, un dommage par collision causé à un véhicule à moteur qu'il conduisait, ainsi que le vol d'un véhicule.</w:t>
      </w:r>
    </w:p>
    <w:p>
      <w:r>
        <w:t>Dans son appel, l’intéressé ne formule aucune critique s’agissant de l’assainissement d’une police d’assurance auprès de J______. En ce qui concerne le dommage de collision avec un autre véhicule - dont l’intimée s’est prévalue tant dans son courrier du 14 février 2017 que dans sa réponse du 27 mars 2020 -, il se limite à soutenir que l’accident annoncé à la question n° 5 de la proposition d’assurance, en lien avec la responsabilité civile, était la collision du 22 décembre 2011 dont le courrier de J______ faisait état. L’appelant, qui ne conteste pas que les questions posées par l'assureur étaient précises et sans ambiguïté, n’allègue pas</w:t>
      </w:r>
    </w:p>
    <w:p>
      <w:r>
        <w:t>- 14/19 -</w:t>
      </w:r>
    </w:p>
    <w:p>
      <w:r>
        <w:t>C/4897/2019 avoir confondu, lors de l’établissement de la proposition d’assurance, un sinistre ayant été couvert par son assurance casco complète (soit un dommage sur son propre véhicule) avec un événement pris en charge par son assurance RC (soit un dommage causé à un tiers). Il allègue en effet avoir déclaré le sinistre du 22 décembre 2011 comme un événement couvert par son assurance RC, mais ne fournit aucun indice pour établir que le sinistre en question concernait un préjudice causé à une tierce personne. Il ne prouve au demeurant pas s’être référé au sinistre du 22 décembre 2011 en répondant à la question n° 5 de la proposition d’assurance. A cet égard, l’appelant ne conteste pas avoir connu, avant la conclusion du contrat litigieux, d’autres sinistres que ceux figurant dans les courriers de J______ et I______. Il résulte d’ailleurs de la note électronique du service de l’intimée du 15 août 2016 que celle-ci avait déjà résilié une police d’assurance de l’appelant en 2013 en raison d’un sinistre. L’identité entre le sinistre annoncé à la question n° 5 de la proposition d’assurance et celui figurant dans la lettre de J______ n’est par conséquent pas établie. L’appelant a donc omis de déclarer le sinistre du 22 décembre 2011 couvert par son assurance casco complète. L’appelant conteste avoir tu le vol d’un véhicule du 28 juillet 2012. Ainsi que l’a retenu le Tribunal, les éléments au dossier, soit les seules déclarations du fils de l’appelant, ne permettent néanmoins pas de retenir qu’il aurait déclaré ce sinistre aux collaborateurs de l’intimée au moment de la conclusion du contrat. L’appelant ne critique d’ailleurs pas précisément cette appréciation et n’offre aucune preuve à l’appui de ses dires. Partant, l’appelant a omis de déclarer une collision ayant entraîné des prestations de son assurance casco complète, un vol de véhicule et l’assainissement d’une police d’assurance en raison du nombre de sinistres, soit des faits qu’il ne pouvait ignorer et qui entrent incontestablement en considération pour l'appréciation du risque. L’appelant échoue à apporter la preuve que l'assureur aurait néanmoins conclu le contrat aux conditions prévues s'il avait connu les faits omis. Sur ce point, l’intimée a soutenu, dans son courrier du 14 février 2017 et durant la procédure, qu’elle n’aurait pas conclu le contrat d’assurance en question si elle avait eu connaissance de ces éléments, ce que le témoin G______ a confirmé. Par conséquent, l’appelant a commis une réticence.</w:t>
      </w:r>
    </w:p>
    <w:p>
      <w:r>
        <w:rPr>
          <w:b/>
        </w:rPr>
        <w:t>E. 6</w:t>
      </w:r>
    </w:p>
    <w:p>
      <w:r>
        <w:t>L’appelant allègue que l’intimée dispose d’une base de données lui permettant d’avoir accès à tous ses sinistres, y compris ceux survenus auprès d’assurances tierces. L’intimée soutient en revanche que sa base de données ne lui donne accès qu’aux sinistres enregistrés dans le cadre de polices conclues auprès d’elle.</w:t>
      </w:r>
    </w:p>
    <w:p>
      <w:r>
        <w:rPr>
          <w:b/>
        </w:rPr>
        <w:t>E. 6.1</w:t>
      </w:r>
    </w:p>
    <w:p>
      <w:r>
        <w:t>Dans certaines circonstances, le contrat d'assurance est maintenu malgré la réticence (cf. art. 8 LCA). L'assureur sera ainsi déchu du droit de se départir du</w:t>
      </w:r>
    </w:p>
    <w:p>
      <w:r>
        <w:t>- 15/19 -</w:t>
      </w:r>
    </w:p>
    <w:p>
      <w:r>
        <w:t>C/4897/2019 contrat s'il connaissait ou devait connaître le fait qui n'a pas été déclaré ou qui a été inexactement déclaré (art. 8 ch. 3 et 4 LCA). Par la formule employée, il apparaît que l'assureur a l'obligation d'examiner de manière attentive et critique les réponses données aux questions qu'il a posées, sans que les rôles ne soient toutefois inversés. Il n'a pas à se renseigner, ni à rechercher par lui-même les réponses aux questions qu'il a formulées (ATF 111 II 388 consid. 3c/bb et cc); il n'a pas davantage à vérifier par tous les moyens à sa disposition les réponses qui lui sont fournies (ATF 116 II 345 consid. 4; arrêts du Tribunal fédéral 4A_274/2018 du 13 décembre 2018 consid. 3.1.1; 4A_579/2009 du 1er février 2010 consid. 2.5). En revanche, l'assureur doit rechercher des informations s'il est nécessaire d'écarter des incertitudes ou d'élucider des contradictions qui résulteraient des réponses apportées dans la proposition. Nier toute obligation à sa charge dans ce domaine pourrait en effet amener l'assureur à se taire lors de la conclusion du contrat, afin de pouvoir bénéficier de la réticence en cas de sinistre, ce qui serait contraire aux règles de la bonne foi. S'il existe une contradiction manifeste dans les réponses données par le proposant, il appartient dès lors à l'assureur de la lever, en réclamant de plus amples informations à l'intéressé ou en sollicitant, par exemple, les renseignements utiles de la part du médecin traitant (arrêts du Tribunal fédéral 4A_274/2018 du 13 décembre 2018 consid. 3.1.1; 4A_376/2014 du 27 avril 2015 consid. 2.4.1 et 2.4.2 et les références). L'assureur est censé connaître, en particulier, non seulement les renseignements qui lui ont été donnés lors de la souscription d'assurances ou lors du règlement de sinistres antérieurs, mais aussi les faits appris par hasard de la bouche de tiers (ATF 111 II 388 consid. 3c/bb; arrêt du Tribunal fédéral du 5C.43/2004 du 9 août 2004 consid. 7.1).</w:t>
      </w:r>
    </w:p>
    <w:p>
      <w:r>
        <w:t>Chaque partie doit, si la loi ne prescrit le contraire, prouver les faits qu’elle allègue pour en déduire son droit (art. 8 CC).</w:t>
      </w:r>
    </w:p>
    <w:p>
      <w:r>
        <w:rPr>
          <w:b/>
        </w:rPr>
        <w:t>E. 6.2</w:t>
      </w:r>
    </w:p>
    <w:p>
      <w:r>
        <w:t>En l’espèce, il n’est pas contesté que l’aggravation des conditions d’assurance du 18 août 2016 est intervenue à la suite de la consultation par l’intimée de sa base de données. Reste à déterminer le contenu de cette dernière, étant précisé que le fardeau de la preuve de la réalisation des conditions d’application de l’art. 8 al. 3 et 4 LCA incombe à l’appelant. La note de l’intimée du 15 août 2016 indique l’existence, "dans les sinistres sous partenaire", de dix sinistres impliquant des véhicules à moteur au cours des cinq dernières années. L’appelant allègue pour la première fois en appel que l’expression "sinistres sous partenaire" désigne ceux survenus auprès des assurances tierces. Dès lors que cette interprétation n’a pas fait l’objet des débats, faute d’avoir été invoquée avant la clôture de la phase d’allégation, on ne saurait reprocher à l’intimée de ne pas avoir fourni davantage de détails quant aux sinistres visés par cette expression.</w:t>
      </w:r>
    </w:p>
    <w:p>
      <w:r>
        <w:t>- 16/19 -</w:t>
      </w:r>
    </w:p>
    <w:p>
      <w:r>
        <w:t>C/4897/2019 En tout état de cause, rien ne prouve que le terme "sous partenaire" désigne I______ ou J______. L’appelant n’allègue, ni ne prouve, au demeurant, avoir annoncé les sinistres du 11 décembre 2011 et du 28 juillet 2012, ainsi que l’assainissement d’une police d’assurance, à l’intimée dans le cadre de précédents contrats d’assurance conclus avec celle-ci. L’échange de courriel du 29 juin 2020, dans lequel un collaborateur de l’intimée déclare à l’appelant que la direction l’empêche d’établir une offre pour son nouveau véhicule, n’établit pas non plus que l’intimée ait accès à tous les sinistres survenus auprès des assurances tierces. L’intimée a en effet pu mettre à jour sa banque de données depuis le sinistre litigieux, de sorte que celle-ci contient désormais tous les événements dont l’intimée a eu connaissance dans le cadre du présent litige. Enfin, le témoignage du responsable clientèle de l’intimée n’est d’aucun secours à l’appelant. Le fait que ce témoin ait déclaré qu’il était rare de prévoir une franchise de 1'000 fr. par événement de casco partielle n’infirme pas la thèse de l’intimée, qui soutient, sans être contredite, que l’appelant avait connu, dans les cinq ans précédant le contrat litigieux, d’autres sinistres outre ceux non déclarés. L’appelant a à cet égard lui-même précisé qu’il avait notamment déclaré à l’intimée des sinistres de types rayures et des dégâts causés par la grêle, événements qui peuvent concerner l’assurance casco partielle (s’agissant d’un possible vandalisme ou d’un dégât naturel). Par conséquent, aucun élément ne permet de retenir que l’intimée aurait eu connaissance des informations tues par l’appelant, à savoir l’assainissement d’une police d’assurance par J______, un sinistre couvert par la casco complète du 22 décembre 2011 et un vol de véhicule du 28 juillet 2012.</w:t>
      </w:r>
    </w:p>
    <w:p>
      <w:r>
        <w:rPr>
          <w:b/>
        </w:rPr>
        <w:t>E. 6.3</w:t>
      </w:r>
    </w:p>
    <w:p>
      <w:r>
        <w:t>L’appelant soutient que l’intimée aurait néanmoins dû connaître ces éléments en examinant de manière attentive et critique la proposition d’assurance. Certes, l’intimée a constaté une contradiction entre les réponses données par l’appelant aux questions de la proposition d’assurance du 9 août 2016 et les sinistres enregistrés dans le cadre des polices d’assurances conclues auprès d’elle. Elle a néanmoins interpellé l’appelant à ce sujet afin de la lever. Ce dernier n’établit pas que l’assureur aurait alors eu connaissance de nouveaux faits contradictoires, nécessitant une recherche plus approfondie. Son grief tombe par conséquent à faux.</w:t>
      </w:r>
    </w:p>
    <w:p>
      <w:r>
        <w:rPr>
          <w:b/>
        </w:rPr>
        <w:t>E. 7.1</w:t>
      </w:r>
    </w:p>
    <w:p>
      <w:r>
        <w:t>Comme l'art. 6 al. 2 LCA, l'art. 6 aLCA prévoit que le droit de résiliation s’éteint quatre semaines après la connaissance de la réticence par l'assureur. Il s'agit là d'un point de départ objectif, qui ne dépend pas de la question de savoir si l'assureur aurait pu connaître plus tôt le fait tu en faisant preuve de diligence (ATF 118 II 333 consid. 3a et les arrêts cités). Le délai ne commence à courir que lorsque l'assureur dispose d'informations dignes de foi sur des faits dont on peut</w:t>
      </w:r>
    </w:p>
    <w:p>
      <w:r>
        <w:t>- 17/19 -</w:t>
      </w:r>
    </w:p>
    <w:p>
      <w:r>
        <w:t>C/4897/2019 déduire avec certitude qu'une réticence a été commise; de simples présomptions, qui apportent une plus ou moins grande vraisemblance, ne sont pas suffisantes (ATF 130 V 9 consid. 2.1; 119 V 283 consid. 5a). L'assureur doit être complètement orienté sur tous les points relatifs à la réticence et en avoir une connaissance effective, de simples doutes étant insuffisants (ATF 118 II 333 consid. 3a et 3b p. 340). L'abus de droit est réservé; par exemple, le délai pourra commencer de courir si l'assureur refuse sciemment de prendre connaissance des éléments constitutifs de la réticence (ATF 118 II 333 consid. 3c, 3d et 3e; arrêt du Tribunal fédéral 4A_274/2018 du 13 décembre 2018 consid. 3.2.1).</w:t>
      </w:r>
    </w:p>
    <w:p>
      <w:r>
        <w:rPr>
          <w:b/>
        </w:rPr>
        <w:t>E. 7.2</w:t>
      </w:r>
    </w:p>
    <w:p>
      <w:r>
        <w:t>En l’espèce, l’appelant soutient en vain que l'intimée aurait eu connaissance de la réticence avant la conclusion du contrat d’assurance, de sorte que sa résiliation ne respecterait pas le délai de quatre semaines. L’intimée a en effet appris l’existence du vol survenu en 2012 à la lecture de la déclaration de sinistre du 11 janvier 2017, dont elle a accusé réception le lendemain. Elle a rapidement effectué des démarches auprès de I______ et d’autres compagnies d’assurance afin d'obtenir des renseignements complémentaires. Elle a alors appris, le 20 janvier 2017, que l’appelant avait été assuré auprès de I______ à compter du 1er avril 2012 et avait déclaré le vol d'un véhicule le 28 juillet 2012. Le 27 janvier 2017, elle a été informée qu’il avait été assuré auprès de J______, qu’une collision était survenue le 22 décembre 2011 et qu'une police avait dû être assainie en raison de la fréquence des sinistres. Le délai de quatre semaines a ainsi commencé à courir au plus tôt le 20 janvier 2017, de sorte qu'il est arrivé à échéance le 17 février 2017. Le Tribunal a donc à juste titre retenu que la résiliation donnée par pli recommandé du 14 février 2017 l'avait été dans le respect du délai requis. L’appelant ne forme d’ailleurs aucune critique précise à l’encontre de ce raisonnement.</w:t>
      </w:r>
    </w:p>
    <w:p>
      <w:r>
        <w:rPr>
          <w:b/>
        </w:rPr>
        <w:t>E. 8</w:t>
      </w:r>
    </w:p>
    <w:p>
      <w:r>
        <w:t>L’appelant se prévaut enfin de ce que les faits, objets de la réticence, n’auraient pas influé sur la survenance du sinistre survenu le 30 décembre 2016 en Italie.</w:t>
      </w:r>
    </w:p>
    <w:p>
      <w:r>
        <w:rPr>
          <w:b/>
        </w:rPr>
        <w:t>E. 8.1</w:t>
      </w:r>
    </w:p>
    <w:p>
      <w:r>
        <w:t>Il n'est pas arbitraire d'admettre un refus de prestations pour des actes de vandalisme commis sur un véhicule stationné sur la voie publique dans le cas où l'assuré avait caché avoir déjà obtenu par le passé des prestations d'assurance consécutives à des actes de vol et de vandalisme sur un véhicule. Pour retenir une notion large de la causalité, il est nécessaire que le fait important passé sous silence se rapporte au risque qui s'était réalisé (arrêt du Tribunal fédéral 4A_303/2010 du 11 août 2010 consid. 2.4). Dans une situation d'assurance responsabilité civile et casco liée à un véhicule à moteur, il faut admettre qu'une réticence sur des antécédents du conducteur peuvent justifier un refus de l'assureur d'accorder sa prestation, pour autant que les antécédents sur lesquels l'assuré a été interrogé donnent des informations sur la probabilité du type de risque qui s'est</w:t>
      </w:r>
    </w:p>
    <w:p>
      <w:r>
        <w:t>- 18/19 -</w:t>
      </w:r>
    </w:p>
    <w:p>
      <w:r>
        <w:t>C/4897/2019 effectivement réalisé (arrêt du Tribunal fédéral 4A_150/2015 du 29 octobre 2015 consid. 7.5).</w:t>
      </w:r>
    </w:p>
    <w:p>
      <w:r>
        <w:rPr>
          <w:b/>
        </w:rPr>
        <w:t>E. 8.2</w:t>
      </w:r>
    </w:p>
    <w:p>
      <w:r>
        <w:t>En l’espèce, l’appelant n’a pas déclaré à l’intimée avoir notamment reçu des prestations d’assurance en raison d’un vol survenu près de quatre mois après avoir conclu le contrat d’assurance auprès de I______. Le sinistre – allégué - du 30 décembre 2016, objet du litige, est lui aussi survenu, d’après l’appelant, près de quatre mois après la conclusion du contrat d’assurance auprès de l’intimée. Le vol de 2012, non-déclaré, se rapporte, déjà à lui seul, incontestablement au risque qui se serait réalisé en 2016, de sorte que l’intimée est légitimée à refuser d’accorder ses prestations pour celui-ci. Par conséquent, l’appel sera rejeté et le jugement querellé confirmé.</w:t>
      </w:r>
    </w:p>
    <w:p>
      <w:r>
        <w:rPr>
          <w:b/>
        </w:rPr>
        <w:t>E. 9</w:t>
      </w:r>
    </w:p>
    <w:p>
      <w:r>
        <w:t>Les frais judiciaires d'appel seront arrêtés à 4'500 fr. (art. 17 et 35 RTFMC) et mis à la charge de l'appelant, qui succombe (art. 106 al. 1 CPC). Ils seront compensés avec l'avance de frais de même montant qu'il a fournie, laquelle reste acquise à l'Etat de Genève (art. 111 al. 1 CPC). L'appelant sera également condamné à verser des dépens d'appel à l'intimée, d'un montant de 3'500 fr. (art. 85 et 90 RTFMC), débours et TVA inclus (art. 25 et 26 LaCC). * * * * *</w:t>
      </w:r>
    </w:p>
    <w:p>
      <w:r>
        <w:t>- 19/19 -</w:t>
      </w:r>
    </w:p>
    <w:p>
      <w:r>
        <w:t>C/4897/2019 PAR CES MOTIFS, La Chambre civile : A la forme : Déclare recevable l'appel interjeté le 7 juillet 2022 par A______ contre le jugement JTPI/6264/2022 rendu le 27 mai 2022 par le Tribunal de première instance dans la cause C/4897/2019. Au fond : Confirme le jugement attaqué. Déboute les parties de toutes autres conclusions. Sur les frais : Arrête les frais judiciaires d'appel à 4'500 fr., les met à la charge de A______ et les compense avec l'avance de frais de même montant qu'il a fournie, laquelle reste acquise à l'Etat de Genève. Condamne A______ à verser 3'500 fr. à B______ à titre de dépens d'appel.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