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ACJC/1577/2021 vom 26. Mai 2021</w:t>
      </w:r>
    </w:p>
    <w:p>
      <w:r>
        <w:t>GE Cour de justice, 2021-05-26, FR</w:t>
      </w:r>
    </w:p>
    <w:p>
      <w:r>
        <w:rPr>
          <w:b/>
        </w:rPr>
        <w:t xml:space="preserve">Quelle: </w:t>
      </w:r>
      <w:r>
        <w:t>https://mcp.opencaselaw.ch/entscheid/ge_gerichte_ACJC_1577_2021</w:t>
      </w:r>
    </w:p>
    <w:p>
      <w:r>
        <w:t>FR: GE_GERICHTE ACJC/1577/2021 du 26 mai 2021</w:t>
      </w:r>
    </w:p>
    <w:p>
      <w:r>
        <w:t>IT: GE_GERICHTE ACJC/1577/2021 del 26 maggio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 recourant a produit des pièces nouvelles, lesquelles sont irrecevable dans le cadre d'un recours (art. 326 al. 1 CPC). Elles ne sont, en tout état de cause, pas pertinentes pour l'issue du litige.</w:t>
      </w:r>
    </w:p>
    <w:p>
      <w:r>
        <w:rPr>
          <w:b/>
        </w:rPr>
        <w:t>E. 1.4</w:t>
      </w:r>
    </w:p>
    <w:p>
      <w:r>
        <w:t>Les maximes des débats et de disposition s'appliquent (art. 55 al. 1, 255 lit. a a contrario et 58 al. 1 CPC).</w:t>
      </w:r>
    </w:p>
    <w:p>
      <w:r>
        <w:t>- 4/7 -</w:t>
      </w:r>
    </w:p>
    <w:p>
      <w:r>
        <w:t>C/24127/2020</w:t>
      </w:r>
    </w:p>
    <w:p>
      <w:r>
        <w:rPr>
          <w:b/>
        </w:rPr>
        <w:t>E. 2</w:t>
      </w:r>
    </w:p>
    <w:p>
      <w:r>
        <w:t>Le recourant soutient que le Tribunal a fait preuve de formalisme excessif en écartant ses écritures du 17 mars 2021, alors qu'il était empêché de participer à l'audience du 22 mars 2021.</w:t>
      </w:r>
    </w:p>
    <w:p>
      <w:r>
        <w:rPr>
          <w:b/>
        </w:rPr>
        <w:t>E. 2.1</w:t>
      </w:r>
    </w:p>
    <w:p>
      <w:r>
        <w:t>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n. 2 ad art. 253 CPC) selon lequel le juge doit accepter toute écriture des parties présentée même lors de l'audience ne peut être suivi (arrêt du Tribunal fédéral 4A_403/2014 précité consid. 4.2.1).</w:t>
      </w:r>
    </w:p>
    <w:p>
      <w:r>
        <w:rPr>
          <w:b/>
        </w:rPr>
        <w:t>E. 2.2</w:t>
      </w:r>
    </w:p>
    <w:p>
      <w:r>
        <w:t>En l'espèce, le recourant n'avait pas la possibilité d'opter pour une procédure écrite et ne pouvait dès lors adresser ses déterminations au Tribunal, qui pouvait les écarter sans faire preuve de formalisme excessif, ayant décidé que la procédure serait orale. Il n'explique par ailleurs pas pour quel motif il ne pouvait pas participer à l'audience du 22 mars 2021 et n'a pas allégué avoir demandé la restitution de ladite audience. Le grief du recourant sera ainsi rejeté.</w:t>
      </w:r>
    </w:p>
    <w:p>
      <w:r>
        <w:rPr>
          <w:b/>
        </w:rPr>
        <w:t>E. 3</w:t>
      </w:r>
    </w:p>
    <w:p>
      <w:r>
        <w:t>Le recourant conteste le prononcé de la mainlevée de son opposition.</w:t>
      </w:r>
    </w:p>
    <w:p>
      <w:r>
        <w:rPr>
          <w:b/>
        </w:rPr>
        <w:t>E. 3.1.1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w:t>
      </w:r>
    </w:p>
    <w:p>
      <w:r>
        <w:t>- 5/7 -</w:t>
      </w:r>
    </w:p>
    <w:p>
      <w:r>
        <w:t>C/24127/2020 ou qu'il a obtenu un sursis, postérieurement au jugement, ou qu'il ne se prévale de la prescription (art. 81 al. 1 LP).</w:t>
      </w:r>
    </w:p>
    <w:p>
      <w:r>
        <w:rPr>
          <w:b/>
        </w:rPr>
        <w:t>E. 3.1.2</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rPr>
          <w:b/>
        </w:rPr>
        <w:t>E. 3.1.3</w:t>
      </w:r>
    </w:p>
    <w:p>
      <w:r>
        <w:t>Le Tribunal fédéral a considéré qu'en écrivant "opposition pas revenu à meilleure fortune", le poursuivi entend, d'une part, contester la dette et, d'autre part, exciper du défaut de nouvelle fortune et fait application du principe "in dubio pro debitore" (ATF 103 III 31 consid. 34 consid. 2; 108 III 6 consid. 3 p. 9). Il est toutefois revenu sur cette jurisprudence, considérant, au vu des critiques exprimées en doctrine, qu'il était préférable de procéder à une interprétation de la déclaration d'opposition au commandement de payer selon le principe de la confiance (ATF 140 III 567 consid. 2.3 p. 570). Lorsque le débiteur formule en même temps l'opposition ordinaire et l'opposition pour défaut de nouvelle fortune, la poursuite ne peut être continuée que si l'une et l'autre ont été levées par le juge compétent (ATF 103 III 34, consid. 82 III 118, ATF 77 III 126). Il ne saurait être exigé du créancier qu'il attende l'issue d'une éventuelle action constatatoire négative intentée par le débiteur au sens de l'art. 265a al. 4 LP pour requérir la mainlevée de l'opposition dirigée contre sa créance. En effet, un juge a déjà statué, au moins sous l'angle de la vraisemblance, sur la question d'une nouvelle fortune, ce qui relativise la nécessité de protéger l'ex-failli contre ses anciens créanciers (JEANDIN, Commentaire romand, LP, 2005, n. 23 ad art. 265a LP). La poursuite ne pourra toutefois pas se continuer (art. 88 LP) tant qu'un jugement sur l'action constatatoire ne sera pas entré en force (JEANDIN, op. cit., n. 24 ad art. 265a LP).</w:t>
      </w:r>
    </w:p>
    <w:p>
      <w:r>
        <w:rPr>
          <w:b/>
        </w:rPr>
        <w:t>E. 3.1.4</w:t>
      </w:r>
    </w:p>
    <w:p>
      <w:r>
        <w:t>L'absence de production dans la faillite n'a nullement pour effet l'extinction de la créance (ATF 59 III 233 consid. 1: "le défaut de production demeure sans effet sur la créance"); celle-ci tombe sous le coup de l'art. 267 LP, en vertu duquel les créances dont les titulaires n'ont pas participé à la faillite - par hypothèse l'intimée - sont soumises aux mêmes restrictions que celles pour lesquelles un acte de défaut de biens a été délivré (arrêt du Tribunal fédéral 5A_679/2018 du 17 juin 2019 consid. 3.2.3 et les références).</w:t>
      </w:r>
    </w:p>
    <w:p>
      <w:r>
        <w:t>- 6/7 -</w:t>
      </w:r>
    </w:p>
    <w:p>
      <w:r>
        <w:t>C/24127/2020</w:t>
      </w:r>
    </w:p>
    <w:p>
      <w:r>
        <w:rPr>
          <w:b/>
        </w:rPr>
        <w:t>E. 3.2</w:t>
      </w:r>
    </w:p>
    <w:p>
      <w:r>
        <w:t>En l'espèce, le fait que le recourant a contesté tant la dette que son retour à meilleure fortune n'est pas remis en cause, de sorte que la question de la mainlevée de l'opposition doit être examinée. Devant la Cour, le recourant ne conteste aucunement que l'intimée dispose d'un titre de mainlevée définitive et il n'invoque aucun moyen libératoire. Il soutient en revanche que le Tribunal ne pouvait statuer sur la mainlevée de l'opposition tant que l'opposition pour non-retour à meilleure fortune n'avait pas été déclarée irrecevable par un jugement entré en force; or, il avait saisi le Tribunal d'une action en constatation de non-retour à meilleure fortune, qui n'avait pas encore donné lieu à un tel jugement. Cela étant, lorsque le Tribunal a statué, l'opposition pour non-retour à meilleure fortune avait été déclarée irrecevable. De plus, le fait que le recourant a déposé par la suite une action en constatation du non-retour à meilleure fortune n'empêche pas le juge de la mainlevée de statuer sans attendre l'issue de cette action. La décision rendue dans le cadre de l'action en constatation de non-retour à meilleure fortune n'a par ailleurs aucun caractère préjudiciel par rapport à la procédure de mainlevée de l'opposition et il n'est dès lors pas nécessaire de suspendre la présente procédure dans l'attente de l'issue de la première procédure citée. Au vu de ce qui précède, le recours n'est pas fondé, de sorte qu'il sera rejeté. 4. Le recourant, qui succombe, sera condamné aux frais judicaires du recours (art. 106 al. 1 CPC), arrêtés à 1'125 fr. (art. 48 et 61 OELP) et compensés avec l'avance fournie, qui reste acquise à l'Etat de Genève.</w:t>
      </w:r>
    </w:p>
    <w:p>
      <w:r>
        <w:t>Il ne sera pas alloué de dépens à l'intimée, qui comparaît en personne (art. 95 al. 3 let. c CPC). * * * * *</w:t>
      </w:r>
    </w:p>
    <w:p>
      <w:r>
        <w:t>- 7/7 -</w:t>
      </w:r>
    </w:p>
    <w:p>
      <w:r>
        <w:t>C/24127/2020 PAR CES MOTIFS, La Chambre civile : A la forme : Déclare recevable le recours interjeté par A______ contre le jugement JTPI/6754/2021 rendu le 26 mai 2021 par le Tribunal de première instance dans la cause C/24127/2020– 23 SML. Au fond : Rejette ce recours. Déboute les parties de toutes autres conclusions. Sur les frais : Arrête les frais judicaires à 1'125 fr., les met à la charge de A______ et les compense avec l'avance fournie, qui reste acquise à l'Etat de Genève. Dit qu'il n'est pas alloué de dépens.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