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ACJC/1576/2024 vom 10. Dezember 2024</w:t>
      </w:r>
    </w:p>
    <w:p>
      <w:r>
        <w:t>GE Cour de justice, 2024-12-10, FR</w:t>
      </w:r>
    </w:p>
    <w:p>
      <w:r>
        <w:rPr>
          <w:b/>
        </w:rPr>
        <w:t xml:space="preserve">Quelle: </w:t>
      </w:r>
      <w:r>
        <w:t>https://mcp.opencaselaw.ch/entscheid/ge_gerichte_ACJC_1576_2024</w:t>
      </w:r>
    </w:p>
    <w:p>
      <w:r>
        <w:t>FR: GE_GERICHTE ACJC/1576/2024 du 10 décembre 2024</w:t>
      </w:r>
    </w:p>
    <w:p>
      <w:r>
        <w:t>IT: GE_GERICHTE ACJC/1576/2024 del 10 dicembre 2024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Savoir si l’affaire est de nature patrimoniale dépend des conclusions de l’appel. Si tel est le cas, la valeur décisive pour l’appel est celle des conclusions qui étaient litigieuses immédiatement avant la communication de la décision attaquée (arrêt du Tribunal fédéral 5D_13/2017 du 4 décembre 2017 consid. 5.2; TAPPY,</w:t>
      </w:r>
    </w:p>
    <w:p>
      <w:r>
        <w:t>- 5/8 -</w:t>
      </w:r>
    </w:p>
    <w:p>
      <w:r>
        <w:t>C/19222/2023 Commentaire romand, CPC, 2019, n. 64 ad art. 91 CPC; BASTON BULLETTI, Petit commentaire, CPC, 2020, n. 6 ad art. 308 CPC). En l'espèce, le litige en appel porte uniquement sur l'instauration d'une curatelle d'organisation et de surveillance du droit de visite, soit une question non patrimoniale, de sorte que la voie de l'appel est ouverte.</w:t>
      </w:r>
    </w:p>
    <w:p>
      <w:r>
        <w:rPr>
          <w:b/>
        </w:rPr>
        <w:t>E. 1.2</w:t>
      </w:r>
    </w:p>
    <w:p>
      <w:r>
        <w:t>Interjeté dans le délai et les formes prescrits par la loi (art. 130, 131, 142 al. 1 et 3 et 311 al. 1 CPC) auprès de l'autorité compétente (art. 120 al. 1 let. a LOJ), l'appel est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 138 III 374 consid. 4.3.1).</w:t>
      </w:r>
    </w:p>
    <w:p>
      <w:r>
        <w:rPr>
          <w:b/>
        </w:rPr>
        <w:t>E. 1.4</w:t>
      </w:r>
    </w:p>
    <w:p>
      <w:r>
        <w:t>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arrêts du Tribunal fédéral 5A_841/2018, 5A_843/2018 du 12 février 2020 consid. 5.2).</w:t>
      </w:r>
    </w:p>
    <w:p>
      <w:r>
        <w:rPr>
          <w:b/>
        </w:rPr>
        <w:t>E. 1.5</w:t>
      </w:r>
    </w:p>
    <w:p>
      <w:r>
        <w:t>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l'occurrence. Dès lors, les chiffres 1 à 4 et 7 à 12 du dispositif du jugement entrepris, non remis en cause par les parties, sont entrés en force de chose jugée. Les chiffres 13 et 14 relatifs aux frais pourront être revus d'office en cas d'annulation de tout ou partie du jugement entrepris (art. 318 al. 3 CPC).</w:t>
      </w:r>
    </w:p>
    <w:p>
      <w:r>
        <w:rPr>
          <w:b/>
        </w:rPr>
        <w:t>E. 2</w:t>
      </w:r>
    </w:p>
    <w:p>
      <w:r>
        <w:t>Lorsque la procédure est soumise à la maxime inquisitoire illimitée, les parties peuvent présenter des nova en appel même si les conditions de l'art. 317 al. 1 CPC ne sont pas réunies (ATF 144 III 349 consid. 4.2.1), de sorte que la pièce nouvelle produite par l'appelant est recevable.</w:t>
      </w:r>
    </w:p>
    <w:p>
      <w:r>
        <w:rPr>
          <w:b/>
        </w:rPr>
        <w:t>E. 3</w:t>
      </w:r>
    </w:p>
    <w:p>
      <w:r>
        <w:t>L'appelant reproche au Tribunal d'avoir instauré une curatelle d'organisation et de surveillance du droit de visite.</w:t>
      </w:r>
    </w:p>
    <w:p>
      <w:r>
        <w:t>- 6/8 -</w:t>
      </w:r>
    </w:p>
    <w:p>
      <w:r>
        <w:t>C/19222/2023</w:t>
      </w:r>
    </w:p>
    <w:p>
      <w:r>
        <w:rPr>
          <w:b/>
        </w:rPr>
        <w:t>E. 3.1</w:t>
      </w:r>
    </w:p>
    <w:p>
      <w:r>
        <w:t>Selon l'art. 308 al. 1 CC, lorsque les circonstances l'exigent, l'autorité de protection de l'enfant – respectivement le juge (art. 315a al. 1 CC) - nomme un curateur qui assiste les père et mère de ses conseils et de son appui dans la prise en charge de l'enfant. Le curateur peut se voir conférer certains pouvoirs tels que la surveillance des relations personnelles (al. 2). La curatelle de surveillance des relations personnelles prévue à l'art. 308 al. 2 CC fait partie des modalités auxquelles peut être soumis le droit de visite. Le rôle du curateur est, dans ce cas, proche de celui d'un intermédiaire et d'un négociateur. Ce dernier n'a pas le pouvoir de décider lui-même de la réglementation du droit de visite, mais le juge peut lui confier le soin d'organiser les modalités pratiques de ce droit dans le cadre qu'il aura préalablement déterminé (arrêts du Tribunal fédéral 5A_670/2013 du 8 janvier 2014 consid. 4.1; 5A_101/2011 du 7 juin 2011 consid. 3.1.4). L'institution d'une curatelle au sens de l'art. 308 CC suppose d'abord, comme toute mesure de protection de l'enfant (cf. art. 307 al. 1 CC), que le développement de celui-ci soit menacé.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(ATF 140 III 241 consid. 2.1 et les arrêts cités; arrêts du Tribunal fédéral 5A_690/2022 du 31 janvier 2023 consid. 3.1; 5A_791/2022 du 26 janvier 2023 consid. 7.2 et la jurisprudence citée). L'autorité jouit à cet égard d'un large pouvoir d'appréciation (art. 4 CC) (arrêts du Tribunal fédéral 5A_818/2022 du 9 mars 2023 consid. 4.1; 5A_690/2022 du 31 janvier 2023 consid. 3.1).</w:t>
      </w:r>
    </w:p>
    <w:p>
      <w:r>
        <w:rPr>
          <w:b/>
        </w:rPr>
        <w:t>E. 3.2</w:t>
      </w:r>
    </w:p>
    <w:p>
      <w:r>
        <w:t>En l'espèce, il résulte des écritures des parties en appel que la situation familiale a évolué favorablement depuis le prononcé du jugement de divorce. Les relations entre le père et les enfants ont repris à un rythme régulier et se déroulent dorénavant de manière conforme à l'intérêt des enfants. En outre, selon leurs déclarations concordantes, les parties communiquent suffisamment bien pour organiser les relations personnelles, sans que cela nécessite l'intervention d'un tiers. Dans ces circonstances, il ne se justifie pas de maintenir la mesure de curatelle d'organisation et de surveillance des relations personnelles instaurée par le premier juge. Si des problèmes devaient survenir à l'avenir à ce sujet, il appartiendra aux parties de saisir directement le Tribunal de protection de l'adulte et de l'enfant de cette question. Les chiffres 5 et 6 du dispositif du jugement querellé seront donc annulés.</w:t>
      </w:r>
    </w:p>
    <w:p>
      <w:r>
        <w:t>- 7/8 -</w:t>
      </w:r>
    </w:p>
    <w:p>
      <w:r>
        <w:t>C/19222/2023</w:t>
      </w:r>
    </w:p>
    <w:p>
      <w:r>
        <w:rPr>
          <w:b/>
        </w:rPr>
        <w:t>E. 4.1</w:t>
      </w:r>
    </w:p>
    <w:p>
      <w:r>
        <w:t>Lorsque l'instance d'appel statue à nouveau, elle se prononce sur les frais de la première instance (art. 318 al. 3 CPC). En l'occurrence, la quotité et la répartition des frais judiciaires et dépens de première instance ont été arrêtées conformément aux règles légales (art. 95, 96, 104 al. 1, 106 al. 2, 107 al. 1 let. c et f CPC; art. 30 RTFMC) et ne sont pas critiquées en appel. La modification du jugement entrepris ne commande, par ailleurs, pas de revoir la répartition effectuée par le premier juge, compte tenu de la nature du litige et du fait qu'aucune des parties n'obtient entièrement gain de cause. Le montant et la répartition des frais de première instance seront par conséquent confirmés.</w:t>
      </w:r>
    </w:p>
    <w:p>
      <w:r>
        <w:rPr>
          <w:b/>
        </w:rPr>
        <w:t>E. 4.2</w:t>
      </w:r>
    </w:p>
    <w:p>
      <w:r>
        <w:t>Les frais judiciaires de la procédure d'appel seront arrêtés à 1'000 fr. (art. 30 et 35 RTFMC). Compte tenu de la nature familiale du litige, ils seront répartis à parts égales entre les parties, soit 500 fr. à charge de chacune d'elles (art. 107 al. 1 let. c CPC). Les deux parties plaidant au bénéfice de l'assistance judiciaire, les frais seront provisoirement supportés par l'Etat de Genève, lequel pourra en réclamer le remboursement ultérieurement aux conditions de l'art. 123 CPC. Compte tenu de la nature et de l'issue du litige, chaque partie supportera ses propres dépens d'appel (art. 107 al. 1 let. c. CPC). * * * * *</w:t>
      </w:r>
    </w:p>
    <w:p>
      <w:r>
        <w:t>- 8/8 -</w:t>
      </w:r>
    </w:p>
    <w:p>
      <w:r>
        <w:t>C/19222/2023 PAR CES MOTIFS, La Chambre civile : A la forme : Déclare recevable l'appel interjeté le 12 septembre 2024 par A______ contre le jugement JTPI/8767/2024 rendu le 10 juillet 2024 par le Tribunal de première instance dans la cause C/19222/2023. Au fond : Annule les chiffres 5 et 6 du dispositif de ce jugement. Confirme le jugement entrepris pour le surplus. Déboute les parties de toutes autres conclusions. Sur les frais : Met les frais judiciaires d'appel, arrêtés à 1'000 fr., à charge des parties à raison d'une moitié chacune. Dit que les frais judiciaires d'appel sont provisoirement supportés par l'Etat de Genève. Dit qu'il n'est pas alloué de dépens. Siégeant : Madame Jocelyne DEVILLE-CHAVANNE, présidente; Madame Verena PEDRAZZINI RIZZI, Madame Nathalie LANDRY-BARTHE,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