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ACJC/1576/2017 vom 5. Dezember 2017</w:t>
      </w:r>
    </w:p>
    <w:p>
      <w:r>
        <w:t>GE Cour de justice, 2017-12-05, FR</w:t>
      </w:r>
    </w:p>
    <w:p>
      <w:r>
        <w:rPr>
          <w:b/>
        </w:rPr>
        <w:t xml:space="preserve">Quelle: </w:t>
      </w:r>
      <w:r>
        <w:t>https://mcp.opencaselaw.ch/entscheid/ge_gerichte_ACJC_1576_2017</w:t>
      </w:r>
    </w:p>
    <w:p>
      <w:r>
        <w:t>FR: GE_GERICHTE ACJC/1576/2017 du 5 décembre 2017</w:t>
      </w:r>
    </w:p>
    <w:p>
      <w:r>
        <w:t>IT: GE_GERICHTE ACJC/1576/2017 del 5 dicembre 2017</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5A_765/2012 du 19 février 2013), l'appel est recevable.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S'agissant du sort des enfants mineurs, les maximes d'office et inquisitoire illimitée s'appliquent (art. 55 al. 2, 58 al. 2 et 296 al. 3 CPC; ATF 129 III 417</w:t>
      </w:r>
    </w:p>
    <w:p>
      <w:r>
        <w:t>- 9/16 -</w:t>
      </w:r>
    </w:p>
    <w:p>
      <w:r>
        <w:t>C/95/2016 consid. 2.1.2; 128 III 411 consid. 3.2.2. et les références; arrêt du Tribunal fédéral 5A_906/2012 du 18 avril 2013 consid. 6.1.1), ce qui a pour conséquence que le juge n'est pas lié par les conclusions des parties (art. 296 al. 3 CPC).</w:t>
      </w:r>
    </w:p>
    <w:p>
      <w:r>
        <w:rPr>
          <w:b/>
        </w:rPr>
        <w:t>E. 1.3</w:t>
      </w:r>
    </w:p>
    <w:p>
      <w:r>
        <w:t>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2.2</w:t>
      </w:r>
    </w:p>
    <w:p>
      <w:r>
        <w:t>En l'espèce, les pièces produites par les parties en appel sont recevables, dès lors qu'elles concernent la capacité contributive de l'appelant, qui est pertinente pour fixer la contribution due à l'entretien des enfants mineurs, ainsi que les relations entre les parents et les enfants.</w:t>
      </w:r>
    </w:p>
    <w:p>
      <w:r>
        <w:rPr>
          <w:b/>
        </w:rPr>
        <w:t>E. 3</w:t>
      </w:r>
    </w:p>
    <w:p>
      <w:r>
        <w:t>L'appelant reproche au Tribunal de ne pas avoir instauré une garde alternée.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 Bien que l'autorité parentale conjointe soit désormais la règle et qu'elle comprenne le droit de déterminer le lieu de résidence de l'enfant (art. 296 al. 2 et 301a</w:t>
      </w:r>
    </w:p>
    <w:p>
      <w:r>
        <w:t>- 10/16 -</w:t>
      </w:r>
    </w:p>
    <w:p>
      <w:r>
        <w:t>C/95/2016 al. 1 CC; ATF 142 III 56 consid. 3, 142 III 1 consid. 3.3 et les références), elle n'implique pas nécessairement l'instauration d'une garde alternée (arrêts du Tribunal fédéral 5A_266/2015 du 24 juin 2015 consid. 4.2.2.1;5A_46/2015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les intérêts des parents devant être relégués au second plan (ATF 131 III 209 consid. 5). Pour apprécier ces critères, le juge du fait dispose d'un large pouvoir d'appréciation (ATF 115 II 317 consid. 2 et 3; arrêts du Tribunal fédéral 5A_154/2016 du 19 mai 2016 consid. 4.1 et 5A_714/2015 du 28 avril 2016 consid. 4.2.1.3).</w:t>
      </w:r>
    </w:p>
    <w:p>
      <w:r>
        <w:rPr>
          <w:b/>
        </w:rPr>
        <w:t>E. 3.2</w:t>
      </w:r>
    </w:p>
    <w:p>
      <w:r>
        <w:t>En l'espèce, l'intérêt des enfants à partager autant de temps que possible avec chacun de leur parent doit être mis en balance avec celui d'avoir un rythme de vie leur permettant de poursuivre une scolarité dans de bonnes condition et de s'épanouir personnellement. Les enfants ont terminé leur année scolaire 2016-2017 au sein des écoles qui se trouvaient à proximité de l'ancien domicile de leur mère, ce qui était dans leur intérêt car il est notoire qu'un changement d'école en cours d'année scolaire déstabilise les enfants. Depuis la rentrée 2017, les enfants fréquentent les écoles situées dans la région de F______ proches du nouveau domicile de leur mère. Tout comme il eut été perturbant pour eux de quitter leur école de E______ en cours d'année, il le serait également d'y retourner au cours de la présente année scolaire. A cela s'ajoute, que l'on ne peut pas exclure que, dans le cadre du divorce, le juge de première instance décide d'attribuer leur garde exclusive à leur mère, de sorte qu'ils seraient à nouveau scolarisés à F______. Seul l'intérêt des enfants étant pertinent pour décider de l'attribution de leur garde et le déménagement des enfants à F______ ayant déjà eu lieu, la question de savoir si ce déménagement peut être reproché à l'intimée ne se pose pas. L'intimée a affirmé, sans être contredite par l'appelant, que les enfants s'étaient bien intégrés dans leur nouveau quartier et qu'ils s'y étaient fait de nouveaux amis. C______ a débuté des cours de guitare à H______ le mercredi midi et D______ est vraisemblablement inscrit à une initiation musicale également à H______ les jeudis. Si le changement de lieu de vie peut avoir perturbé les enfants dans un premier temps, il semble qu'ils aient dépassé leurs appréhensions. Pour des raisons de stabilité, il est donc dans l'intérêt des enfants qu'ils continuent d'être scolarisés à F______ et de poursuivre leurs activités extrascolaires à H______ pendant la durée de la procédure.</w:t>
      </w:r>
    </w:p>
    <w:p>
      <w:r>
        <w:t>- 11/16 -</w:t>
      </w:r>
    </w:p>
    <w:p>
      <w:r>
        <w:t>C/95/2016 Par ailleurs, eu égard à la distance séparant les domiciles des parents et à l'absence de véhicule de l'appelant, une garde alternée ne peut être envisagée car elle impliquerait que les enfants effectuent des allers et retours en bus soir et matin dans le seul but de pouvoir prendre leur repas du soir et dormir chez leur père. Le bénéfice pour les enfants d'un tel temps passé avec leur père semble ainsi disproportionné avec le temps de trajet qu'ils devraient effectuer à cette fin. Par conséquent, il est dans l'intérêt des enfants d'attribuer leur garde à leur mère dès lors que celle-ci réside près de leurs nouvelles écoles, qu'elle a assumé leur garde de fait depuis la séparation des époux et que, travaillant à temps partiel, elle est plus disponible que le père. La décision querellée sera donc confirmée sur ce point.</w:t>
      </w:r>
    </w:p>
    <w:p>
      <w:r>
        <w:rPr>
          <w:b/>
        </w:rPr>
        <w:t>E. 4.1</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53/2017 du 23 mars 2017 consid. 5.1).</w:t>
      </w:r>
    </w:p>
    <w:p>
      <w:r>
        <w:rPr>
          <w:b/>
        </w:rPr>
        <w:t>E. 4.2</w:t>
      </w:r>
    </w:p>
    <w:p>
      <w:r>
        <w:t>Eu égard à l'éloignement du lieu de scolarisation des enfants du domicile de leur père, il n'est pas dans l'intérêt des enfants de conserver l'étendue du droit de visite de l'appelant tel qu'il le pratiquait avant le changement d'école. Afin d'éviter que les enfants n'aient à écourter leurs nuits pour prendre le bus tôt le matin pour se rendent à l'école à F______, le droit de visite de l'appelant la nuit du mardi au mercredi matin et du dimanche soir au lundi matin les week-ends ne peut être maintenu. Il en va de même des repas de midis, à moins que l'appelant ne soit en mesure de venir prendre ses repas avec les enfants à proximité de leurs écoles respectives. En revanche, les enfants sont suffisamment âgés pour prendre leur repas du soir avec leur père - les mercredis et les dimanches soirs les week-ends où l'appelant exerce ses relations personnelles avec eux - avant de retourner dormir chez leur mère. Par conséquent, le droit de visite de l'appelant sera fixé, à défaut d'accord contraire des parties, à raison au minimum de tous les mercredis de la sortie de l'école à 20h00, charge au père de les ramener chez leur mère, et d'un week-end sur deux du vendredi 18h00 au dimanche 20h00, charge au père de les ramener chez leur mère, ainsi que durant la moitié des vacances scolaires.</w:t>
      </w:r>
    </w:p>
    <w:p>
      <w:r>
        <w:t>- 12/16 -</w:t>
      </w:r>
    </w:p>
    <w:p>
      <w:r>
        <w:t>C/95/2016</w:t>
      </w:r>
    </w:p>
    <w:p>
      <w:r>
        <w:rPr>
          <w:b/>
        </w:rPr>
        <w:t>E. 5</w:t>
      </w:r>
    </w:p>
    <w:p>
      <w:r>
        <w:t>L'appelant reproche également au Tribunal d'avoir fixé un montant trop élevé à titre de contribution à l'entretien des enfants.</w:t>
      </w:r>
    </w:p>
    <w:p>
      <w:r>
        <w:rPr>
          <w:b/>
        </w:rPr>
        <w:t>E. 5.1.1</w:t>
      </w:r>
    </w:p>
    <w:p>
      <w:r>
        <w:t>Les procédures en cours à l'entrée en vigueur, le 1er janvier 2017, des modifications du Code civil relatives à l'obligation d'entretien à l'égard des enfants, sont régies par le nouveau droit (art. 13c bis al. 1 CC; art. 407b al. 1 CPC).</w:t>
      </w:r>
    </w:p>
    <w:p>
      <w:r>
        <w:rPr>
          <w:b/>
        </w:rPr>
        <w:t>E. 5.1.2</w:t>
      </w:r>
    </w:p>
    <w:p>
      <w:r>
        <w:t>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Les allocations familiales font toujours partie des revenus de l'enfant et viennent en sus de la contribution d'entretien lorsqu'elles sont versées à la personne tenue de pourvoir à l'entretien de l'enfant (art. 285a al. 1 CC). En présence d'une situation financière modeste, les charges des parties se calculent en se fondant sur le minimum vital de base du droit des poursuites (art. 93 LP), élargi des dépenses incompressibles. Si les ressources du couple dépassent le minimum vital du droit des poursuites, on tient compte aussi des dépenses non strictement nécessaires, tels que les impôts et certaines primes d'assurances non obligatoires (RC privée, ménage, complémentaires d'assurance maladie) et les versements qui constituent de l'épargne, ainsi les cotisations au 3ème pilier ou à une assurance-vie (CHAIX, Commentaire romand, Code civil I, n. 9 ad art. 176 CC; BASTONS BULLETTI, L'entretien après divorce : méthodes de calcul, montant, durée et limites, in : SJ 2007 II 77, p. 90 et 91). Il est nécessaire de répartir entre le parent gardien et les enfants le coût du logement, soit à raison de 20% d'un loyer raisonnable pour un enfant et 30% pour deux enfants (BASTONS BULLETTI, op. cit., p. 102 note n. 140).</w:t>
      </w:r>
    </w:p>
    <w:p>
      <w:r>
        <w:rPr>
          <w:b/>
        </w:rPr>
        <w:t>E. 5.1.3</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op. cit, p. 4; STOUDMANN, op. cit., p. 431). L'intangibilité du minimum vital du débirentier demeure (Message, p. 541).</w:t>
      </w:r>
    </w:p>
    <w:p>
      <w:r>
        <w:t>- 13/16 -</w:t>
      </w:r>
    </w:p>
    <w:p>
      <w:r>
        <w:t>C/95/2016</w:t>
      </w:r>
    </w:p>
    <w:p>
      <w:r>
        <w:rPr>
          <w:b/>
        </w:rPr>
        <w:t>E. 5.2</w:t>
      </w:r>
    </w:p>
    <w:p>
      <w:r>
        <w:t>En l'espèce, l'appelant n'a pas rendu vraisemblable vivre séparé de son amie avec laquelle il faisait ménage commun. Même en admettant que cela fut le cas, l'appelant bénéficierait d'un solde mensuel de 4'134 fr. par mois (10'590 fr. net par mois en moyenne de revenus - 6'456 fr. de charges, soit 2'396 fr. de loyer, 794 fr. d'assurance maladie, 366 fr. de frais médicaux, 70 fr. de frais TPG, 1'630 fr. d'acompte d'impôts et 1'200 fr. d'entretien de base selon les normes OP). Il n'y a pas lieu de tenir compte de l'argent qu'il verse en faveur des enfants sur des comptes épargne, la priorité devant être donnée à l'entretien de ceux-ci au quotidien. En outre, l'appelant n'a pas rendu vraisemblable cotiser à un 3ème pilier à ce jour, les relevés produits datant de l'année 2004 et sa déclaration fiscale 2015 n'en faisant pas mention. L'intimée - qui travaille à 80% - réalise un revenu mensuel net moyen de 7'511 fr. et ses charges admissibles s'élèvent à 5'567 fr. par mois, comprenant le loyer (2'065 fr., soit 70% de 2'950 fr.), la prime d'assurance maladie (616 fr.), les frais médicaux (96 fr.), les frais de transport (520 fr., dont leasing, assurance et impôts du véhicule), les frais de parking (55 fr.), son entretien de base selon les normes OP (1'350 fr.) et les impôts (865 fr.), de sorte que son solde mensuel s'élève à 1'944 fr. Compte tenu de la situation financière des parties et de ce que l'intimée a toujours utilisé un véhicule automobile du temps de la vie commune, notamment pour amener les enfants à leurs diverses activités, c'est à bon droit que le premier juge a tenu compte des frais en découlant. En revanche, c'est à juste titre que l'appelant estime que le Tribunal a mis à la charge des enfants une part trop importante du loyer de l'intimée, le 70% de ce dernier devant être retenu dans ses charges. Dès lors que l'intimée couvre l'intégralité ses propres charges, une éventuelle contribution de prise en charge (art. 285 al. 2 CC) ne se pose pas en l'espèce. Les charges des enfants ne sont pas critiquées par l'appelant hormis celle correspondant à leur participation au loyer de leur mère. Si les frais de loisirs n'ont pas été actualisés alors qu'ils varient certainement chaque année, l'appelant n'a pas rendu vraisemblable qu'ils aient diminué. En revanche, l'intimée n'a pas contesté la fin du traitement logopédique et la prise en charge des frais d'ergothérapie par l'assurance maladie. Par conséquent, les charge de C______ s'élèvent à 1'265 fr. soit sa participation au loyer (442 fr., soit 15% de 2'950 fr.), la prime d'assurance maladie (203 fr.), les frais médicaux (82 fr.), les loisirs (150 fr.), les frais de cantine (43 fr.), les frais de transport (45 fr.) et son entretien de base selon les normes OP (600 fr.), sous déduction de 300 fr. d'allocations familiales. Les charges de D______ s'élèvent à 961 fr., soit sa participation au loyer (442 fr., soit 15% de 2'950 fr.), la prime d'assurance maladie (198 fr.), les frais médicaux (10 fr.), les loisirs (96 fr.), les frais de cantine (70 fr.), les frais de transport (45 fr.) et son entretien de base selon les normes OP (400 fr.), sous déduction de 300 fr. d'allocations familiales.</w:t>
      </w:r>
    </w:p>
    <w:p>
      <w:r>
        <w:t>- 14/16 -</w:t>
      </w:r>
    </w:p>
    <w:p>
      <w:r>
        <w:t>C/95/2016 L'appelant dispose d'un solde mensuel de plus de 4'000 fr. alors que celui de l'intimée s'élève à moins de 2'000 fr. et que cette dernière pourvoit davantage en nature à ses obligations d'entretien envers les enfants que l'appelant. Par conséquent, c'est à bon droit que le premier juge a mis l'entier des frais courants des enfants à la charge du père. Pour le surplus, les parties ne remettent pas en cause la date du dies a quo arrêtée par le Tribunal au jour du prononcé de la décision. L'appelant sera donc condamné à verser à l'intimée, par mois et d'avance, au titre de contribution des enfants, les sommes arrondies de 1'200 fr. pour C______ et de 1'000 fr. pour D______, allocations familiales non comprises, ce dès le 23 août 2017. Le minimum vital de l'appelant sera ainsi préservé puisqu'il disposera encore d'une somme de 1'934 fr. (4'134 fr. - 1'200 fr. - 1'000 fr.) après paiement de ces contributions.</w:t>
      </w:r>
    </w:p>
    <w:p>
      <w:r>
        <w:rPr>
          <w:b/>
        </w:rPr>
        <w:t>E. 6.1</w:t>
      </w:r>
    </w:p>
    <w:p>
      <w:r>
        <w:t>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w:t>
      </w:r>
    </w:p>
    <w:p>
      <w:r>
        <w:rPr>
          <w:b/>
        </w:rPr>
        <w:t>E. 6.2</w:t>
      </w:r>
    </w:p>
    <w:p>
      <w:r>
        <w:t>Les frais judiciaires d'appel seront fixés à 1'250 fr. (art. 31 et 37 RTFMC) et mis à la charge des parties pour moitié chacune, compte tenu de la nature familiale et de l'issue du litige (art. 95 et 107 al. 1 let. c CPC). Ils seront compensés avec l'avance de frais de 1'250 fr. versée par l'appelant (art. 111 al. 1 CPC) qui demeure acquise à l'Etat de Genève. L'intimée sera condamnée à verser à la somme de 625 fr. à l'appelant au titre de frais judicaires d'appel. Compte tenu de la nature familiale du litige, chaque partie supportera ses propres dépens d'appel (art. 107 al. 1 let. c CPC).</w:t>
      </w:r>
    </w:p>
    <w:p>
      <w:r>
        <w:rPr>
          <w:b/>
        </w:rPr>
        <w:t>E. 7</w:t>
      </w:r>
    </w:p>
    <w:p>
      <w:r>
        <w:t>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w:t>
      </w:r>
    </w:p>
    <w:p>
      <w:r>
        <w:t>- 15/16 -</w:t>
      </w:r>
    </w:p>
    <w:p>
      <w:r>
        <w:t>C/95/2016 PAR CES MOTIFS, La Chambre civile : A la forme : Déclare recevable l'appel interjeté le 30 août 2017 par A______ contre l'ordonnance OTPI/437/2017 rendue le 23 août 2017 par le Tribunal de première instance dans la cause C/95/2016. Au fond : Annule les chiffres 3 et 4 du dispositif de cette ordonnance et, statuant à nouveau sur ces points : Réserve à A______ un droit de visite qui s'exercera, à défaut d'accord contraire entre les parties, tous les mercredis de la sortie de l'école à 20h00, retour au domicile de B______, un week-end sur deux, du vendredi soir 18h00 au dimanche soir 20h00, retour au domicile de B______, ainsi que durant la moitié des vacances scolaires. Ordonne à A______ de ramener les enfants chez leur mère à l'issue de son droit de visite. Condamne A______ à verser en mains de B______, par mois et d'avance, allocations familiales en sus, à compter du 23 août 2017, la somme de 1'200 fr. au titre de contribution à l'entretien de C______ et la somme de 1'000 fr. au titre de contribution à l'entretien de D______. Confirme l'ordonnance entreprise pour le surplus. Déboute les parties de toutes autres conclusions. Sur les frais : Arrête les frais judiciaires d'appel à 1'250 fr., les met à la charge des parties pour moitié chacune et les compense à hauteur de 1'250 fr. avec l'avance de frais fournie par A______, qui demeure acquise à l'Etat de Genève.</w:t>
      </w:r>
    </w:p>
    <w:p>
      <w:r>
        <w:t>- 16/16 -</w:t>
      </w:r>
    </w:p>
    <w:p>
      <w:r>
        <w:t>C/95/2016 Condamne B______ à verser 625 fr. à A______ au titre des frais judiciaires d'appel.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