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ACJC/156/2020 vom 25. September 2019</w:t>
      </w:r>
    </w:p>
    <w:p>
      <w:r>
        <w:t>GE Cour de justice, 2019-09-25, FR</w:t>
      </w:r>
    </w:p>
    <w:p>
      <w:r>
        <w:rPr>
          <w:b/>
        </w:rPr>
        <w:t xml:space="preserve">Quelle: </w:t>
      </w:r>
      <w:r>
        <w:t>https://mcp.opencaselaw.ch/entscheid/ge_gerichte_ACJC_156_2020</w:t>
      </w:r>
    </w:p>
    <w:p>
      <w:r>
        <w:t>FR: GE_GERICHTE ACJC/156/2020 du 25 septembre 2019</w:t>
      </w:r>
    </w:p>
    <w:p>
      <w:r>
        <w:t>IT: GE_GERICHTE ACJC/156/2020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En l'espèce, l'ordonnance entreprise constitue à la fois une ordonnance d'instruction, en tant qu'elle fixe un délai de réponse à l'intimée, et une décision</w:t>
      </w:r>
    </w:p>
    <w:p>
      <w:r>
        <w:t>- 4/9 -</w:t>
      </w:r>
    </w:p>
    <w:p>
      <w:r>
        <w:t>C/15482/2018 finale, en tant qu'elle déclare irrecevables les conclusions subsidiaires en baisse de loyer formées par le recourant. En première instance, le recourant a conclu à ce que le loyer soit baissé de 15,25% dès le 1er novembre 2018, soit durant la prolongation du bail, dont l'échéance maximale, de quatre ans, serait le 31 octobre 2022. La valeur litigieuse s'élève ainsi à 6'156 fr. arrondis (10'092 fr. x 15,25% = 1'530 fr. 03 x 4 ans = 6'152 fr. 12).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Le recourant reproche au Tribunal d'avoir violé son droit d'être entendu, d'une part en raison de l'insuffisance de motivation de l'ordonnance entreprise, et, d'autre part, de ce qu'il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w:t>
      </w:r>
    </w:p>
    <w:p>
      <w:r>
        <w:t>- 5/9 -</w:t>
      </w:r>
    </w:p>
    <w:p>
      <w:r>
        <w:t>C/15482/2018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w:t>
      </w:r>
    </w:p>
    <w:p>
      <w:r>
        <w:t>- 6/9 -</w:t>
      </w:r>
    </w:p>
    <w:p>
      <w:r>
        <w:t>C/15482/2018 examiner aussi bien en appel que dans le cadre d'un recours au sens des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t>- 7/9 -</w:t>
      </w:r>
    </w:p>
    <w:p>
      <w:r>
        <w:t>C/15482/2018</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le recourant,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le recourant. Par ailleurs, sa décision ne comporte aucune motivation permettant de comprendre pour quel motif il a décidé de déclarer irrecevable ladite conclusion. Le Tribunal a ainsi également violé le droit d'être entendu du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w:t>
      </w:r>
    </w:p>
    <w:p>
      <w:r>
        <w:t>- 8/9 -</w:t>
      </w:r>
    </w:p>
    <w:p>
      <w:r>
        <w:t>C/15482/2018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le recourant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C/15482/2018 PAR CES MOTIFS, La Chambre des baux et loyers : A la forme : Déclare recevable le recours interjeté le 7 octobre 2019 par A______ contre l'ordonnance rendue le 25 septembre 2019 par le Tribunal des baux et loyers dans la cause C/15482/2018.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